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2507284</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Air-to-ground network for NR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7.12.5</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w:t>
      </w:r>
      <w:bookmarkStart w:id="2" w:name="_GoBack"/>
      <w:bookmarkEnd w:id="2"/>
      <w:r>
        <w:rPr>
          <w:rFonts w:hint="eastAsia" w:cs="Arial"/>
          <w:lang w:val="en-US" w:eastAsia="zh-CN"/>
        </w:rPr>
        <w:t xml:space="preserve"> were achieved around ATG RRM, the following agreements around core part were approved and summarized in [1]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 xml:space="preserve">Issue 1-1-2: </w:t>
            </w:r>
            <w:bookmarkStart w:id="0" w:name="OLE_LINK5"/>
            <w:r>
              <w:rPr>
                <w:rFonts w:hint="default" w:ascii="Times New Roman" w:hAnsi="Times New Roman" w:cs="Times New Roman"/>
                <w:b/>
                <w:color w:val="auto"/>
                <w:sz w:val="20"/>
                <w:szCs w:val="20"/>
                <w:u w:val="single"/>
                <w:lang w:val="en-US" w:eastAsia="zh-CN"/>
              </w:rPr>
              <w:t>UE Beam Type capability signaling</w:t>
            </w:r>
            <w:bookmarkEnd w:id="0"/>
          </w:p>
          <w:p>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1-1-2-1: The description of capability definition</w:t>
            </w:r>
          </w:p>
          <w:p>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Indicates whether the UE supports one common Rx beam when UE capable of antennaArrayType-r18 on both PCC and SCC. If the field is absent, UE supports two simultaneous separate Rx beams when UE capable of antennaArrayType-r18 on both PCC and SCC.</w:t>
            </w:r>
          </w:p>
          <w:p>
            <w:pPr>
              <w:keepNext w:val="0"/>
              <w:keepLines w:val="0"/>
              <w:pageBreakBefore w:val="0"/>
              <w:widowControl/>
              <w:numPr>
                <w:ilvl w:val="1"/>
                <w:numId w:val="5"/>
              </w:numPr>
              <w:tabs>
                <w:tab w:val="left" w:pos="420"/>
                <w:tab w:val="clear" w:pos="-420"/>
              </w:tabs>
              <w:kinsoku/>
              <w:wordWrap/>
              <w:overflowPunct w:val="0"/>
              <w:topLinePunct w:val="0"/>
              <w:autoSpaceDE w:val="0"/>
              <w:autoSpaceDN w:val="0"/>
              <w:bidi w:val="0"/>
              <w:adjustRightInd w:val="0"/>
              <w:snapToGrid/>
              <w:spacing w:after="120"/>
              <w:ind w:left="1111"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UE indicating support of this feature shall also indicate support of antennaArrayType-r18 on each band of the supported Band combination.</w:t>
            </w:r>
          </w:p>
          <w:p>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1-1-2-3: The Report feature</w:t>
            </w:r>
          </w:p>
          <w:p>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Conditional mandatory</w:t>
            </w:r>
          </w:p>
          <w:p>
            <w:pPr>
              <w:keepNext w:val="0"/>
              <w:keepLines w:val="0"/>
              <w:pageBreakBefore w:val="0"/>
              <w:widowControl/>
              <w:numPr>
                <w:ilvl w:val="1"/>
                <w:numId w:val="5"/>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UE indicating support of this feature shall also indicate support of antennaArrayType-r18 on each band [of the supported Band combination]</w:t>
            </w:r>
          </w:p>
          <w:p>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1-1-2-4: The Report functionalities between FDD and TDD</w:t>
            </w:r>
          </w:p>
          <w:p>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Agreement:</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No functionality difference between FDD and TDD</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FFS how to reflect it on the spec.</w:t>
            </w:r>
          </w:p>
          <w:p>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1-1-2-5: The Report functionalities between FR1 and FR2</w:t>
            </w:r>
          </w:p>
          <w:p>
            <w:pPr>
              <w:tabs>
                <w:tab w:val="left" w:pos="0"/>
              </w:tabs>
              <w:overflowPunct/>
              <w:autoSpaceDE/>
              <w:autoSpaceDN/>
              <w:adjustRightInd/>
              <w:snapToGrid w:val="0"/>
              <w:spacing w:after="120"/>
              <w:rPr>
                <w:rFonts w:hint="default" w:ascii="Times New Roman" w:hAnsi="Times New Roman" w:eastAsia="宋体" w:cs="Times New Roman"/>
                <w:color w:val="auto"/>
                <w:sz w:val="20"/>
                <w:szCs w:val="20"/>
                <w:highlight w:val="green"/>
                <w:lang w:eastAsia="zh-CN"/>
              </w:rPr>
            </w:pPr>
            <w:r>
              <w:rPr>
                <w:rFonts w:hint="default" w:ascii="Times New Roman" w:hAnsi="Times New Roman" w:eastAsia="宋体" w:cs="Times New Roman"/>
                <w:color w:val="auto"/>
                <w:sz w:val="20"/>
                <w:szCs w:val="20"/>
                <w:highlight w:val="green"/>
                <w:lang w:eastAsia="zh-CN"/>
              </w:rPr>
              <w:t xml:space="preserve">Agreement: </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FR1 only</w:t>
            </w:r>
          </w:p>
          <w:p>
            <w:pPr>
              <w:snapToGrid w:val="0"/>
              <w:spacing w:after="120"/>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Issue 1-1-5: S</w:t>
            </w:r>
            <w:r>
              <w:rPr>
                <w:rFonts w:hint="default" w:ascii="Times New Roman" w:hAnsi="Times New Roman" w:cs="Times New Roman"/>
                <w:b/>
                <w:color w:val="auto"/>
                <w:sz w:val="20"/>
                <w:szCs w:val="20"/>
                <w:u w:val="single"/>
                <w:lang w:eastAsia="ko-KR"/>
              </w:rPr>
              <w:t>pecification structure</w:t>
            </w:r>
          </w:p>
          <w:p>
            <w:pPr>
              <w:snapToGrid w:val="0"/>
              <w:spacing w:after="120"/>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Agreement:</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eastAsia="宋体" w:cs="Times New Roman"/>
                <w:color w:val="auto"/>
                <w:sz w:val="20"/>
                <w:szCs w:val="20"/>
                <w:lang w:val="en-US" w:eastAsia="zh-CN"/>
              </w:rPr>
              <w:t>Create a new clause for ATG interruption requirement.</w:t>
            </w:r>
          </w:p>
          <w:p>
            <w:pPr>
              <w:snapToGrid w:val="0"/>
              <w:spacing w:after="120"/>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val="en-US" w:eastAsia="zh-CN"/>
              </w:rPr>
              <w:t>Issue 1-2-1: Whether Interruptions at NR SRS carrier based switching requirements need to be introduced</w:t>
            </w:r>
          </w:p>
          <w:p>
            <w:pPr>
              <w:snapToGrid w:val="0"/>
              <w:spacing w:after="120"/>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 xml:space="preserve">Agreement: </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eastAsia="宋体" w:cs="Times New Roman"/>
                <w:color w:val="auto"/>
                <w:sz w:val="20"/>
                <w:szCs w:val="20"/>
                <w:lang w:val="en-US" w:eastAsia="zh-CN"/>
              </w:rPr>
              <w:t>Don’t introduce NR SRS carrier based switching interruption requirements.</w:t>
            </w:r>
          </w:p>
          <w:p>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1-</w:t>
            </w:r>
            <w:r>
              <w:rPr>
                <w:rFonts w:hint="default" w:ascii="Times New Roman" w:hAnsi="Times New Roman" w:cs="Times New Roman"/>
                <w:b/>
                <w:color w:val="auto"/>
                <w:sz w:val="20"/>
                <w:szCs w:val="20"/>
                <w:u w:val="single"/>
                <w:lang w:val="en-US" w:eastAsia="zh-CN"/>
              </w:rPr>
              <w:t>3-1</w:t>
            </w:r>
            <w:r>
              <w:rPr>
                <w:rFonts w:hint="default" w:ascii="Times New Roman" w:hAnsi="Times New Roman" w:cs="Times New Roman"/>
                <w:b/>
                <w:color w:val="auto"/>
                <w:sz w:val="20"/>
                <w:szCs w:val="20"/>
                <w:u w:val="single"/>
                <w:lang w:eastAsia="ko-KR"/>
              </w:rPr>
              <w:t>: Deactivated SCell measurement</w:t>
            </w:r>
          </w:p>
          <w:p>
            <w:pPr>
              <w:snapToGrid w:val="0"/>
              <w:spacing w:after="120"/>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Agreement:</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cs="Times New Roman"/>
                <w:b/>
                <w:color w:val="auto"/>
                <w:sz w:val="20"/>
                <w:szCs w:val="20"/>
                <w:u w:val="single"/>
                <w:lang w:val="en-US" w:eastAsia="zh-CN"/>
              </w:rPr>
            </w:pPr>
            <w:r>
              <w:rPr>
                <w:rFonts w:hint="default" w:ascii="Times New Roman" w:hAnsi="Times New Roman" w:eastAsia="宋体" w:cs="Times New Roman"/>
                <w:color w:val="auto"/>
                <w:sz w:val="20"/>
                <w:szCs w:val="20"/>
                <w:highlight w:val="none"/>
              </w:rPr>
              <w:t xml:space="preserve">For </w:t>
            </w:r>
            <w:r>
              <w:rPr>
                <w:rFonts w:hint="default" w:ascii="Times New Roman" w:hAnsi="Times New Roman" w:eastAsia="宋体" w:cs="Times New Roman"/>
                <w:color w:val="auto"/>
                <w:sz w:val="20"/>
                <w:szCs w:val="20"/>
                <w:highlight w:val="none"/>
                <w:lang w:val="en-US"/>
              </w:rPr>
              <w:t>intra-band CA and Case 4 of inter-band CA, no need to introduce L1/L3 measurement sharing factor.</w:t>
            </w:r>
          </w:p>
          <w:p>
            <w:pPr>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eastAsia="ko-KR"/>
              </w:rPr>
              <w:t>Issue 1-</w:t>
            </w:r>
            <w:r>
              <w:rPr>
                <w:rFonts w:hint="default" w:ascii="Times New Roman" w:hAnsi="Times New Roman" w:cs="Times New Roman"/>
                <w:b/>
                <w:color w:val="auto"/>
                <w:sz w:val="20"/>
                <w:szCs w:val="20"/>
                <w:u w:val="single"/>
                <w:lang w:val="en-US" w:eastAsia="zh-CN"/>
              </w:rPr>
              <w:t>3-3</w:t>
            </w:r>
            <w:r>
              <w:rPr>
                <w:rFonts w:hint="default" w:ascii="Times New Roman" w:hAnsi="Times New Roman" w:cs="Times New Roman"/>
                <w:b/>
                <w:color w:val="auto"/>
                <w:sz w:val="20"/>
                <w:szCs w:val="20"/>
                <w:u w:val="single"/>
                <w:lang w:eastAsia="ko-KR"/>
              </w:rPr>
              <w:t xml:space="preserve">: </w:t>
            </w:r>
            <w:r>
              <w:rPr>
                <w:rFonts w:hint="default" w:ascii="Times New Roman" w:hAnsi="Times New Roman" w:cs="Times New Roman"/>
                <w:b/>
                <w:color w:val="auto"/>
                <w:sz w:val="20"/>
                <w:szCs w:val="20"/>
                <w:u w:val="single"/>
                <w:lang w:val="en-US" w:eastAsia="zh-CN"/>
              </w:rPr>
              <w:t>Scheduling Availability/Restrictions of ATG UE performing measurement with a different subcarrier spacing than PDSCH/PDCCH on FR1 For ATG UE antenna type Case 4</w:t>
            </w:r>
          </w:p>
          <w:p>
            <w:pPr>
              <w:snapToGrid w:val="0"/>
              <w:spacing w:after="120"/>
              <w:rPr>
                <w:rFonts w:hint="default" w:ascii="Times New Roman" w:hAnsi="Times New Roman" w:eastAsia="等线" w:cs="Times New Roman"/>
                <w:color w:val="auto"/>
                <w:sz w:val="20"/>
                <w:szCs w:val="20"/>
                <w:highlight w:val="green"/>
                <w:lang w:val="en-US" w:eastAsia="zh-CN"/>
              </w:rPr>
            </w:pPr>
            <w:r>
              <w:rPr>
                <w:rFonts w:hint="default" w:ascii="Times New Roman" w:hAnsi="Times New Roman" w:eastAsia="等线" w:cs="Times New Roman"/>
                <w:color w:val="auto"/>
                <w:sz w:val="20"/>
                <w:szCs w:val="20"/>
                <w:highlight w:val="green"/>
                <w:lang w:val="en-US" w:eastAsia="zh-CN"/>
              </w:rPr>
              <w:t>Agreement:</w:t>
            </w:r>
          </w:p>
          <w:p>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726"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For scheduling availability of UE performing measurement with a different subcarrier spacing than PDSCH/PDCCH for RLM, BFD, CBD, intra/inter-frequency measurement without MG, L1-RSRP measurement, and L1-SINR measurement, following availability also applied for Case#4 UE.</w:t>
            </w:r>
          </w:p>
          <w:p>
            <w:pPr>
              <w:keepNext w:val="0"/>
              <w:keepLines w:val="0"/>
              <w:pageBreakBefore w:val="0"/>
              <w:widowControl/>
              <w:numPr>
                <w:ilvl w:val="1"/>
                <w:numId w:val="5"/>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When intra-band carrier aggregation in FR1 is configured, the scheduling restrictions on FR1 serving PCell should apply to all serving cells in the same band on the symbols that fully or partially overlap with restricted symbols.</w:t>
            </w:r>
          </w:p>
          <w:p>
            <w:pPr>
              <w:keepNext w:val="0"/>
              <w:keepLines w:val="0"/>
              <w:pageBreakBefore w:val="0"/>
              <w:widowControl/>
              <w:numPr>
                <w:ilvl w:val="1"/>
                <w:numId w:val="5"/>
              </w:numPr>
              <w:tabs>
                <w:tab w:val="left" w:pos="420"/>
                <w:tab w:val="clear" w:pos="-420"/>
              </w:tabs>
              <w:kinsoku/>
              <w:wordWrap/>
              <w:overflowPunct w:val="0"/>
              <w:topLinePunct w:val="0"/>
              <w:autoSpaceDE w:val="0"/>
              <w:autoSpaceDN w:val="0"/>
              <w:bidi w:val="0"/>
              <w:adjustRightInd w:val="0"/>
              <w:snapToGrid/>
              <w:spacing w:after="120"/>
              <w:ind w:left="1146" w:leftChars="0" w:hanging="363"/>
              <w:textAlignment w:val="baseline"/>
              <w:rPr>
                <w:rFonts w:hint="default" w:eastAsia="宋体"/>
                <w:sz w:val="21"/>
                <w:szCs w:val="21"/>
                <w:lang w:val="en-US" w:eastAsia="zh-CN"/>
              </w:rPr>
            </w:pPr>
            <w:r>
              <w:rPr>
                <w:rFonts w:hint="default" w:ascii="Times New Roman" w:hAnsi="Times New Roman" w:eastAsia="宋体" w:cs="Times New Roman"/>
                <w:color w:val="auto"/>
                <w:sz w:val="20"/>
                <w:szCs w:val="20"/>
                <w:highlight w:val="none"/>
              </w:rPr>
              <w:t>When inter-band carrier aggregation within FR1 is configured, there are no scheduling restrictions on FR1 serving cell(s) configured in other bands than the bands in which PCell is configured</w:t>
            </w:r>
          </w:p>
        </w:tc>
      </w:tr>
    </w:tbl>
    <w:p>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this paper, we provide our further analysis on remaining RRM aspects of R19 ATG.</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General</w:t>
      </w:r>
    </w:p>
    <w:p>
      <w:pPr>
        <w:pStyle w:val="12"/>
        <w:numPr>
          <w:ilvl w:val="0"/>
          <w:numId w:val="0"/>
        </w:numPr>
        <w:bidi w:val="0"/>
        <w:ind w:leftChars="0"/>
        <w:rPr>
          <w:rFonts w:hint="eastAsia"/>
          <w:lang w:val="en-US" w:eastAsia="zh-CN"/>
        </w:rPr>
      </w:pPr>
      <w:r>
        <w:rPr>
          <w:rFonts w:hint="eastAsia"/>
          <w:lang w:val="en-US" w:eastAsia="zh-CN"/>
        </w:rPr>
        <w:t xml:space="preserve">After several meeting warm discussion within RRM and RF sessions, eventually the Case 4 was confirmed and the relevant UE capability to distinguish Case 4 and 5 was approved in last meeting. While the granularity of such UE capability is still suspending. Since the UE capability of distinguish Case 4 and 5 is on top of R18 UE capability </w:t>
      </w:r>
      <w:r>
        <w:rPr>
          <w:rFonts w:hint="eastAsia"/>
          <w:i/>
          <w:iCs/>
          <w:lang w:val="en-US" w:eastAsia="zh-CN"/>
        </w:rPr>
        <w:t>antennaArrayType-r18,</w:t>
      </w:r>
      <w:r>
        <w:rPr>
          <w:rFonts w:hint="eastAsia"/>
          <w:lang w:val="en-US" w:eastAsia="zh-CN"/>
        </w:rPr>
        <w:t xml:space="preserve"> which is per band type as below. </w:t>
      </w:r>
    </w:p>
    <w:tbl>
      <w:tblPr>
        <w:tblStyle w:val="18"/>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spacing w:after="0"/>
              <w:rPr>
                <w:rFonts w:ascii="Arial" w:hAnsi="Arial"/>
                <w:b/>
                <w:i/>
                <w:sz w:val="18"/>
              </w:rPr>
            </w:pPr>
            <w:r>
              <w:rPr>
                <w:rFonts w:ascii="Arial" w:hAnsi="Arial"/>
                <w:b/>
                <w:i/>
                <w:sz w:val="18"/>
              </w:rPr>
              <w:t>antennaArrayType-r18</w:t>
            </w:r>
          </w:p>
          <w:p>
            <w:pPr>
              <w:pStyle w:val="38"/>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Pr>
          <w:p>
            <w:pPr>
              <w:pStyle w:val="38"/>
              <w:jc w:val="center"/>
              <w:rPr>
                <w:rFonts w:cs="Arial"/>
                <w:szCs w:val="18"/>
              </w:rPr>
            </w:pPr>
            <w:r>
              <w:t>Band</w:t>
            </w:r>
          </w:p>
        </w:tc>
        <w:tc>
          <w:tcPr>
            <w:tcW w:w="567" w:type="dxa"/>
          </w:tcPr>
          <w:p>
            <w:pPr>
              <w:pStyle w:val="38"/>
              <w:jc w:val="center"/>
              <w:rPr>
                <w:rFonts w:cs="Arial"/>
                <w:szCs w:val="18"/>
              </w:rPr>
            </w:pPr>
            <w:r>
              <w:t>CY</w:t>
            </w:r>
          </w:p>
        </w:tc>
        <w:tc>
          <w:tcPr>
            <w:tcW w:w="709" w:type="dxa"/>
          </w:tcPr>
          <w:p>
            <w:pPr>
              <w:pStyle w:val="38"/>
              <w:jc w:val="center"/>
              <w:rPr>
                <w:rFonts w:eastAsia="DengXian"/>
              </w:rPr>
            </w:pPr>
            <w:r>
              <w:t>N/A</w:t>
            </w:r>
          </w:p>
        </w:tc>
        <w:tc>
          <w:tcPr>
            <w:tcW w:w="728" w:type="dxa"/>
          </w:tcPr>
          <w:p>
            <w:pPr>
              <w:pStyle w:val="38"/>
              <w:jc w:val="center"/>
              <w:rPr>
                <w:rFonts w:eastAsia="DengXian"/>
              </w:rPr>
            </w:pPr>
            <w:r>
              <w:rPr>
                <w:bCs/>
                <w:iCs/>
              </w:rPr>
              <w:t>FR1 only</w:t>
            </w:r>
          </w:p>
        </w:tc>
      </w:tr>
    </w:tbl>
    <w:p>
      <w:pPr>
        <w:pStyle w:val="12"/>
        <w:numPr>
          <w:ilvl w:val="0"/>
          <w:numId w:val="0"/>
        </w:numPr>
        <w:bidi w:val="0"/>
        <w:ind w:leftChars="0"/>
        <w:rPr>
          <w:rFonts w:hint="default"/>
          <w:lang w:val="en-US" w:eastAsia="zh-CN"/>
        </w:rPr>
      </w:pPr>
      <w:r>
        <w:rPr>
          <w:rFonts w:hint="eastAsia"/>
          <w:lang w:val="en-US" w:eastAsia="zh-CN"/>
        </w:rPr>
        <w:t>On top of this R18 UE capability, for the bands UE supporting phase antenna array, an additional UE capability of distinguish between Case 4 and 5 could be further indicated to NW with the type of per BC.</w:t>
      </w:r>
    </w:p>
    <w:p>
      <w:pPr>
        <w:pStyle w:val="12"/>
        <w:numPr>
          <w:ilvl w:val="0"/>
          <w:numId w:val="0"/>
        </w:numPr>
        <w:bidi w:val="0"/>
        <w:ind w:leftChars="0"/>
        <w:rPr>
          <w:rFonts w:hint="eastAsia"/>
          <w:b/>
          <w:bCs/>
          <w:lang w:val="en-US" w:eastAsia="zh-CN"/>
        </w:rPr>
      </w:pPr>
      <w:r>
        <w:rPr>
          <w:rFonts w:hint="eastAsia"/>
          <w:b/>
          <w:bCs/>
          <w:lang w:val="en-US" w:eastAsia="zh-CN"/>
        </w:rPr>
        <w:t xml:space="preserve">Proposal 1: To differentiate Case 4 and Case 5, the additional UE capability to distinguish common or separate Rx beam is assumed with per BC type for the bands in which UE supporting phase antenna array. </w:t>
      </w:r>
    </w:p>
    <w:p>
      <w:pPr>
        <w:pStyle w:val="12"/>
        <w:numPr>
          <w:ilvl w:val="0"/>
          <w:numId w:val="0"/>
        </w:numPr>
        <w:bidi w:val="0"/>
        <w:ind w:leftChars="0"/>
        <w:rPr>
          <w:rFonts w:hint="eastAsia"/>
          <w:lang w:val="en-US" w:eastAsia="zh-CN"/>
        </w:rPr>
      </w:pPr>
      <w:r>
        <w:rPr>
          <w:rFonts w:hint="eastAsia"/>
          <w:lang w:val="en-US" w:eastAsia="zh-CN"/>
        </w:rPr>
        <w:t>According to the WID, only two bands CA is allowed for the inter-band case, is it allowed to configure an MO in the 3</w:t>
      </w:r>
      <w:r>
        <w:rPr>
          <w:rFonts w:hint="eastAsia"/>
          <w:vertAlign w:val="superscript"/>
          <w:lang w:val="en-US" w:eastAsia="zh-CN"/>
        </w:rPr>
        <w:t>rd</w:t>
      </w:r>
      <w:r>
        <w:rPr>
          <w:rFonts w:hint="eastAsia"/>
          <w:lang w:val="en-US" w:eastAsia="zh-CN"/>
        </w:rPr>
        <w:t xml:space="preserve"> band, which should be determined. For instance the allowed band combiations are {band #a, band #b}, {band #a, band #c} and {band #b, band #c}. When the band combination {PCell in band #a, SCell in band#b} is configured to UE, to figure out the quality of band #c for the potential PCell handover or SCell addition/release since the neighbour cell in band #c is the potential PCell or SCell, so it should be allowed to configure an MO in band #c. But which requires the UE to report whether common Rx beam is assumed between PCC band and the 3</w:t>
      </w:r>
      <w:r>
        <w:rPr>
          <w:rFonts w:hint="eastAsia"/>
          <w:vertAlign w:val="superscript"/>
          <w:lang w:val="en-US" w:eastAsia="zh-CN"/>
        </w:rPr>
        <w:t>rd</w:t>
      </w:r>
      <w:r>
        <w:rPr>
          <w:rFonts w:hint="eastAsia"/>
          <w:lang w:val="en-US" w:eastAsia="zh-CN"/>
        </w:rPr>
        <w:t xml:space="preserve"> band, or between SCC band and the 3</w:t>
      </w:r>
      <w:r>
        <w:rPr>
          <w:rFonts w:hint="eastAsia"/>
          <w:vertAlign w:val="superscript"/>
          <w:lang w:val="en-US" w:eastAsia="zh-CN"/>
        </w:rPr>
        <w:t>rd</w:t>
      </w:r>
      <w:r>
        <w:rPr>
          <w:rFonts w:hint="eastAsia"/>
          <w:lang w:val="en-US" w:eastAsia="zh-CN"/>
        </w:rPr>
        <w:t xml:space="preserve"> band. It seems out of the assumption on UE antenna between PCC band and SCC band. So RAN4 needs to discuss this point.</w:t>
      </w:r>
    </w:p>
    <w:p>
      <w:pPr>
        <w:pStyle w:val="12"/>
        <w:numPr>
          <w:ilvl w:val="0"/>
          <w:numId w:val="0"/>
        </w:numPr>
        <w:bidi w:val="0"/>
        <w:ind w:leftChars="0"/>
        <w:rPr>
          <w:rFonts w:hint="eastAsia"/>
          <w:b/>
          <w:bCs/>
          <w:lang w:val="en-US" w:eastAsia="zh-CN"/>
        </w:rPr>
      </w:pPr>
      <w:r>
        <w:rPr>
          <w:rFonts w:hint="eastAsia"/>
          <w:b/>
          <w:bCs/>
          <w:lang w:val="en-US" w:eastAsia="zh-CN"/>
        </w:rPr>
        <w:t>Proposal 2: RAN4 needs to discuss whether an MO in the 3</w:t>
      </w:r>
      <w:r>
        <w:rPr>
          <w:rFonts w:hint="eastAsia"/>
          <w:b/>
          <w:bCs/>
          <w:vertAlign w:val="superscript"/>
          <w:lang w:val="en-US" w:eastAsia="zh-CN"/>
        </w:rPr>
        <w:t>rd</w:t>
      </w:r>
      <w:r>
        <w:rPr>
          <w:rFonts w:hint="eastAsia"/>
          <w:b/>
          <w:bCs/>
          <w:lang w:val="en-US" w:eastAsia="zh-CN"/>
        </w:rPr>
        <w:t xml:space="preserve"> band besides the PCC band and SCC band is allowed for the two sub-cases. If the answer is yes, then UE has to report the new UE capability for the band combinations of {PCC band, SCC band}, {PCC band, 3</w:t>
      </w:r>
      <w:r>
        <w:rPr>
          <w:rFonts w:hint="eastAsia"/>
          <w:b/>
          <w:bCs/>
          <w:vertAlign w:val="superscript"/>
          <w:lang w:val="en-US" w:eastAsia="zh-CN"/>
        </w:rPr>
        <w:t>rd</w:t>
      </w:r>
      <w:r>
        <w:rPr>
          <w:rFonts w:hint="eastAsia"/>
          <w:b/>
          <w:bCs/>
          <w:lang w:val="en-US" w:eastAsia="zh-CN"/>
        </w:rPr>
        <w:t xml:space="preserve"> band} and {SCC band, 3</w:t>
      </w:r>
      <w:r>
        <w:rPr>
          <w:rFonts w:hint="eastAsia"/>
          <w:b/>
          <w:bCs/>
          <w:vertAlign w:val="superscript"/>
          <w:lang w:val="en-US" w:eastAsia="zh-CN"/>
        </w:rPr>
        <w:t>rd</w:t>
      </w:r>
      <w:r>
        <w:rPr>
          <w:rFonts w:hint="eastAsia"/>
          <w:b/>
          <w:bCs/>
          <w:lang w:val="en-US" w:eastAsia="zh-CN"/>
        </w:rPr>
        <w:t xml:space="preserve"> band}. </w:t>
      </w:r>
    </w:p>
    <w:p>
      <w:pPr>
        <w:pStyle w:val="12"/>
        <w:numPr>
          <w:ilvl w:val="0"/>
          <w:numId w:val="6"/>
        </w:numPr>
        <w:bidi w:val="0"/>
        <w:ind w:left="420" w:leftChars="0" w:hanging="420" w:firstLineChars="0"/>
        <w:rPr>
          <w:rFonts w:hint="eastAsia"/>
          <w:b/>
          <w:bCs/>
          <w:lang w:val="en-US" w:eastAsia="zh-CN"/>
        </w:rPr>
      </w:pPr>
      <w:r>
        <w:rPr>
          <w:rFonts w:hint="eastAsia"/>
          <w:b/>
          <w:bCs/>
          <w:lang w:val="en-US" w:eastAsia="zh-CN"/>
        </w:rPr>
        <w:t>Sub-case 1: the 3</w:t>
      </w:r>
      <w:r>
        <w:rPr>
          <w:rFonts w:hint="eastAsia"/>
          <w:b/>
          <w:bCs/>
          <w:vertAlign w:val="superscript"/>
          <w:lang w:val="en-US" w:eastAsia="zh-CN"/>
        </w:rPr>
        <w:t>rd</w:t>
      </w:r>
      <w:r>
        <w:rPr>
          <w:rFonts w:hint="eastAsia"/>
          <w:b/>
          <w:bCs/>
          <w:lang w:val="en-US" w:eastAsia="zh-CN"/>
        </w:rPr>
        <w:t xml:space="preserve"> band is within the supported band combination</w:t>
      </w:r>
    </w:p>
    <w:p>
      <w:pPr>
        <w:pStyle w:val="12"/>
        <w:numPr>
          <w:ilvl w:val="0"/>
          <w:numId w:val="6"/>
        </w:numPr>
        <w:bidi w:val="0"/>
        <w:ind w:left="420" w:leftChars="0" w:hanging="420" w:firstLineChars="0"/>
        <w:rPr>
          <w:rFonts w:hint="eastAsia"/>
          <w:b/>
          <w:bCs/>
          <w:lang w:val="en-US" w:eastAsia="zh-CN"/>
        </w:rPr>
      </w:pPr>
      <w:r>
        <w:rPr>
          <w:rFonts w:hint="eastAsia"/>
          <w:b/>
          <w:bCs/>
          <w:lang w:val="en-US" w:eastAsia="zh-CN"/>
        </w:rPr>
        <w:t>Sub-case 2: the 3</w:t>
      </w:r>
      <w:r>
        <w:rPr>
          <w:rFonts w:hint="eastAsia"/>
          <w:b/>
          <w:bCs/>
          <w:vertAlign w:val="superscript"/>
          <w:lang w:val="en-US" w:eastAsia="zh-CN"/>
        </w:rPr>
        <w:t>rd</w:t>
      </w:r>
      <w:r>
        <w:rPr>
          <w:rFonts w:hint="eastAsia"/>
          <w:b/>
          <w:bCs/>
          <w:lang w:val="en-US" w:eastAsia="zh-CN"/>
        </w:rPr>
        <w:t xml:space="preserve"> band is not within any supported band combination</w:t>
      </w:r>
    </w:p>
    <w:p>
      <w:pPr>
        <w:pStyle w:val="12"/>
        <w:numPr>
          <w:ilvl w:val="0"/>
          <w:numId w:val="0"/>
        </w:numPr>
        <w:bidi w:val="0"/>
        <w:ind w:leftChars="200"/>
        <w:rPr>
          <w:rFonts w:hint="default"/>
          <w:b/>
          <w:bCs/>
          <w:lang w:val="en-US" w:eastAsia="zh-CN"/>
        </w:rPr>
      </w:pPr>
      <w:r>
        <w:rPr>
          <w:rFonts w:hint="eastAsia"/>
          <w:b/>
          <w:bCs/>
          <w:lang w:val="en-US" w:eastAsia="zh-CN"/>
        </w:rPr>
        <w:t>At least Sub-base 1 is allowed preferred by us.</w:t>
      </w:r>
    </w:p>
    <w:p>
      <w:pPr>
        <w:pStyle w:val="12"/>
        <w:numPr>
          <w:ilvl w:val="0"/>
          <w:numId w:val="0"/>
        </w:numPr>
        <w:bidi w:val="0"/>
        <w:ind w:leftChars="0"/>
        <w:rPr>
          <w:rFonts w:hint="eastAsia" w:cs="Times New Roman"/>
          <w:lang w:val="en-US" w:eastAsia="zh-CN"/>
        </w:rPr>
      </w:pPr>
      <w:r>
        <w:rPr>
          <w:rFonts w:hint="eastAsia" w:cs="Times New Roman"/>
          <w:lang w:val="en-US" w:eastAsia="zh-CN"/>
        </w:rPr>
        <w:t>Regarding the report feature, in last meeting, it is still suspending whether UE needs to report this new UE capability restricted to the supported band combination, if the above Sub-case 1 is allowed, then the brackets in last meeting agreements could be removed.</w:t>
      </w:r>
    </w:p>
    <w:p>
      <w:pPr>
        <w:pStyle w:val="12"/>
        <w:numPr>
          <w:ilvl w:val="0"/>
          <w:numId w:val="0"/>
        </w:numPr>
        <w:bidi w:val="0"/>
        <w:ind w:leftChars="0"/>
        <w:rPr>
          <w:rFonts w:hint="default" w:cs="Times New Roman"/>
          <w:lang w:val="en-US" w:eastAsia="zh-CN"/>
        </w:rPr>
      </w:pPr>
      <w:r>
        <w:rPr>
          <w:rFonts w:hint="eastAsia"/>
          <w:b/>
          <w:bCs/>
          <w:lang w:val="en-US" w:eastAsia="zh-CN"/>
        </w:rPr>
        <w:t xml:space="preserve">Proposal 3: </w:t>
      </w:r>
      <w:r>
        <w:rPr>
          <w:rFonts w:hint="default" w:cs="Times New Roman"/>
          <w:b/>
          <w:bCs/>
          <w:lang w:val="en-US" w:eastAsia="zh-CN"/>
        </w:rPr>
        <w:t>The UE indicating support of this feature shall also indicate support of antennaArrayType-r18 on each band of the supported Band combination</w:t>
      </w:r>
      <w:r>
        <w:rPr>
          <w:rFonts w:hint="eastAsia" w:cs="Times New Roman"/>
          <w:b/>
          <w:bCs/>
          <w:lang w:val="en-US" w:eastAsia="zh-CN"/>
        </w:rPr>
        <w:t xml:space="preserve">.     </w:t>
      </w:r>
    </w:p>
    <w:p>
      <w:pPr>
        <w:pStyle w:val="3"/>
        <w:numPr>
          <w:ilvl w:val="0"/>
          <w:numId w:val="0"/>
        </w:numPr>
        <w:bidi w:val="0"/>
        <w:ind w:leftChars="0"/>
        <w:rPr>
          <w:rFonts w:hint="default"/>
          <w:lang w:val="en-US" w:eastAsia="zh-CN"/>
        </w:rPr>
      </w:pPr>
      <w:r>
        <w:rPr>
          <w:rFonts w:hint="eastAsia"/>
          <w:lang w:val="en-US" w:eastAsia="zh-CN"/>
        </w:rPr>
        <w:t>2.2 Measurement procedure</w:t>
      </w:r>
    </w:p>
    <w:p>
      <w:pPr>
        <w:pStyle w:val="12"/>
        <w:bidi w:val="0"/>
        <w:rPr>
          <w:rFonts w:hint="eastAsia" w:cs="Arial"/>
          <w:b w:val="0"/>
          <w:bCs w:val="0"/>
          <w:u w:val="single"/>
          <w:lang w:val="en-US" w:eastAsia="zh-CN"/>
        </w:rPr>
      </w:pPr>
      <w:r>
        <w:rPr>
          <w:rFonts w:hint="eastAsia" w:cs="Arial"/>
          <w:b w:val="0"/>
          <w:bCs w:val="0"/>
          <w:u w:val="single"/>
          <w:lang w:val="en-US" w:eastAsia="zh-CN"/>
        </w:rPr>
        <w:t>Sharing factor between L1 measurement and RRM measurement</w:t>
      </w:r>
    </w:p>
    <w:p>
      <w:pPr>
        <w:pStyle w:val="12"/>
        <w:bidi w:val="0"/>
        <w:rPr>
          <w:rFonts w:hint="eastAsia" w:eastAsia="宋体"/>
          <w:lang w:val="en-US" w:eastAsia="zh-CN"/>
        </w:rPr>
      </w:pPr>
      <w:r>
        <w:rPr>
          <w:rFonts w:hint="eastAsia" w:eastAsia="宋体"/>
          <w:lang w:val="en-US" w:eastAsia="zh-CN"/>
        </w:rPr>
        <w:t>Until last meeting, in which measurement cases, the sharing factor between L1 measurement and RRM measurement is needed, this has been determined. Around the sharing factor between L1 measurement and RRM measurement, how to determine the exact value, and which symbols including before and after the target SSB bymbols should be take into account, these details could be further check.</w:t>
      </w:r>
    </w:p>
    <w:p>
      <w:pPr>
        <w:pStyle w:val="12"/>
        <w:bidi w:val="0"/>
        <w:rPr>
          <w:rFonts w:hint="eastAsia" w:eastAsia="宋体"/>
          <w:lang w:val="en-US" w:eastAsia="zh-CN"/>
        </w:rPr>
      </w:pPr>
      <w:r>
        <w:rPr>
          <w:rFonts w:hint="eastAsia" w:eastAsia="宋体"/>
          <w:lang w:val="en-US" w:eastAsia="zh-CN"/>
        </w:rPr>
        <w:t>The ATG antenna array cases are kind of similar as legacy FR2 but not fully same. In legacy FR2, K</w:t>
      </w:r>
      <w:r>
        <w:rPr>
          <w:rFonts w:hint="eastAsia" w:eastAsia="宋体"/>
          <w:sz w:val="13"/>
          <w:szCs w:val="13"/>
          <w:lang w:val="en-US" w:eastAsia="zh-CN"/>
        </w:rPr>
        <w:t>layer1_measurement</w:t>
      </w:r>
      <w:r>
        <w:rPr>
          <w:rFonts w:hint="eastAsia" w:eastAsia="宋体"/>
          <w:lang w:val="en-US" w:eastAsia="zh-CN"/>
        </w:rPr>
        <w:t xml:space="preserve"> is needed only for intra-band relation between L3 measurement and L1 measurement. For inter-band relation between L3 measurement and L1 measurement, since of IBM, not need this factor, UE is capable of performing L1 and L3 measurements simultaneously. Why need 1 symbol before and after the target SSB symbols in legacy FR2, this is due to the MRTD(8us)+cell phase error(3us) = 11us.</w:t>
      </w:r>
    </w:p>
    <w:p>
      <w:pPr>
        <w:pStyle w:val="12"/>
        <w:bidi w:val="0"/>
        <w:rPr>
          <w:rFonts w:hint="eastAsia" w:eastAsia="宋体"/>
          <w:lang w:val="en-US" w:eastAsia="zh-CN"/>
        </w:rPr>
      </w:pPr>
      <w:r>
        <w:rPr>
          <w:rFonts w:hint="eastAsia" w:eastAsia="宋体"/>
          <w:lang w:val="en-US" w:eastAsia="zh-CN"/>
        </w:rPr>
        <w:t>For ATG the K</w:t>
      </w:r>
      <w:r>
        <w:rPr>
          <w:rFonts w:hint="eastAsia" w:eastAsia="宋体"/>
          <w:sz w:val="13"/>
          <w:szCs w:val="13"/>
          <w:lang w:val="en-US" w:eastAsia="zh-CN"/>
        </w:rPr>
        <w:t>layer1_measurement</w:t>
      </w:r>
      <w:r>
        <w:rPr>
          <w:rFonts w:hint="eastAsia" w:eastAsia="宋体"/>
          <w:lang w:val="en-US" w:eastAsia="zh-CN"/>
        </w:rPr>
        <w:t xml:space="preserve"> is needed for intra-band CA and inter-band Case 4. For intra-band contiguous CA, 1 symbol could cover the cell phase error and very minor RTD, so reuse 1 symbol in legacy FR2 is fine, no need to extend. For inter-band CA, the MRTD(33us)+cell phase error(3us) =36us, which could not be covered by 1 symbol, so need to extend to 2 symbols.</w:t>
      </w:r>
    </w:p>
    <w:p>
      <w:pPr>
        <w:pStyle w:val="12"/>
        <w:bidi w:val="0"/>
        <w:rPr>
          <w:rFonts w:hint="eastAsia" w:eastAsia="宋体"/>
          <w:lang w:val="en-US" w:eastAsia="zh-CN"/>
        </w:rPr>
      </w:pPr>
      <w:r>
        <w:rPr>
          <w:rFonts w:hint="eastAsia" w:eastAsia="宋体"/>
          <w:lang w:val="en-US" w:eastAsia="zh-CN"/>
        </w:rPr>
        <w:t>Based on above analysis, we confirm the proposal captured in [1].</w:t>
      </w:r>
    </w:p>
    <w:p>
      <w:pPr>
        <w:pStyle w:val="12"/>
        <w:bidi w:val="0"/>
        <w:rPr>
          <w:rFonts w:hint="eastAsia"/>
          <w:b/>
          <w:bCs/>
          <w:lang w:val="en-US" w:eastAsia="zh-CN"/>
        </w:rPr>
      </w:pPr>
      <w:r>
        <w:rPr>
          <w:rFonts w:hint="eastAsia"/>
          <w:b/>
          <w:bCs/>
          <w:lang w:val="en-US" w:eastAsia="zh-CN"/>
        </w:rPr>
        <w:t>Proposal 4: Consider impact on K</w:t>
      </w:r>
      <w:r>
        <w:rPr>
          <w:rFonts w:hint="eastAsia"/>
          <w:b/>
          <w:bCs/>
          <w:sz w:val="13"/>
          <w:szCs w:val="13"/>
          <w:lang w:val="en-US" w:eastAsia="zh-CN"/>
        </w:rPr>
        <w:t>layer1_measurement</w:t>
      </w:r>
      <w:r>
        <w:rPr>
          <w:rFonts w:hint="eastAsia"/>
          <w:b/>
          <w:bCs/>
          <w:lang w:val="en-US" w:eastAsia="zh-CN"/>
        </w:rPr>
        <w:t xml:space="preserve"> due to 33usec MRTD for Case 4 antenna type, e.g., </w:t>
      </w:r>
    </w:p>
    <w:p>
      <w:pPr>
        <w:pStyle w:val="12"/>
        <w:bidi w:val="0"/>
        <w:ind w:leftChars="200"/>
        <w:rPr>
          <w:rFonts w:hint="eastAsia"/>
          <w:b/>
          <w:bCs/>
          <w:lang w:val="en-US" w:eastAsia="zh-CN"/>
        </w:rPr>
      </w:pPr>
      <w:r>
        <w:rPr>
          <w:rFonts w:hint="eastAsia"/>
          <w:b/>
          <w:bCs/>
          <w:lang w:val="en-US" w:eastAsia="zh-CN"/>
        </w:rPr>
        <w:t>if all of the reference signal configured for RLM, BFD, CBD or L1-RSRP for beam reporting outside measurement gap and fully-overlapped by intra-frequency SMTC occasions are not overlapped with any of the SSB symbols and the RSSI symbols, and 2 symbol before each consecutive SSB symbols and the RSSI symbols, and 2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pPr>
        <w:pStyle w:val="12"/>
        <w:bidi w:val="0"/>
        <w:rPr>
          <w:rFonts w:hint="default" w:eastAsia="宋体"/>
          <w:lang w:val="en-US" w:eastAsia="zh-CN"/>
        </w:rPr>
      </w:pPr>
      <w:r>
        <w:rPr>
          <w:rFonts w:hint="eastAsia" w:eastAsia="宋体"/>
          <w:lang w:val="en-US" w:eastAsia="zh-CN"/>
        </w:rPr>
        <w:t>Regarding the structure of how to capture K</w:t>
      </w:r>
      <w:r>
        <w:rPr>
          <w:rFonts w:hint="eastAsia" w:eastAsia="宋体"/>
          <w:sz w:val="13"/>
          <w:szCs w:val="13"/>
          <w:lang w:val="en-US" w:eastAsia="zh-CN"/>
        </w:rPr>
        <w:t>layer1_measurement</w:t>
      </w:r>
      <w:r>
        <w:rPr>
          <w:rFonts w:hint="eastAsia" w:eastAsia="宋体"/>
          <w:lang w:val="en-US" w:eastAsia="zh-CN"/>
        </w:rPr>
        <w:t>, we suggest to apply the following structure and provide some clarifications.</w:t>
      </w:r>
    </w:p>
    <w:p>
      <w:pPr>
        <w:pStyle w:val="12"/>
        <w:numPr>
          <w:ilvl w:val="0"/>
          <w:numId w:val="6"/>
        </w:numPr>
        <w:bidi w:val="0"/>
        <w:ind w:left="420" w:leftChars="0" w:hanging="420" w:firstLineChars="0"/>
        <w:rPr>
          <w:rFonts w:hint="default" w:eastAsia="宋体"/>
          <w:lang w:val="en-US" w:eastAsia="zh-CN"/>
        </w:rPr>
      </w:pPr>
      <w:r>
        <w:rPr>
          <w:rFonts w:hint="eastAsia" w:eastAsia="宋体"/>
          <w:lang w:val="en-US" w:eastAsia="zh-CN"/>
        </w:rPr>
        <w:t>For intra-frequency measurement: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lang w:eastAsia="zh-CN"/>
              </w:rPr>
            </w:pPr>
            <w:r>
              <w:rPr>
                <w:lang w:eastAsia="zh-CN"/>
              </w:rPr>
              <w:t xml:space="preserve">For UE </w:t>
            </w:r>
            <w:r>
              <w:rPr>
                <w:rFonts w:hint="eastAsia"/>
                <w:lang w:val="en-US" w:eastAsia="zh-CN"/>
              </w:rPr>
              <w:t>capable of [</w:t>
            </w:r>
            <w:r>
              <w:rPr>
                <w:i/>
                <w:iCs/>
              </w:rPr>
              <w:t>antennaArrayType-r1</w:t>
            </w:r>
            <w:r>
              <w:rPr>
                <w:rFonts w:hint="eastAsia" w:eastAsia="宋体"/>
                <w:i/>
                <w:iCs/>
                <w:lang w:val="en-US" w:eastAsia="zh-CN"/>
              </w:rPr>
              <w:t>8] and [</w:t>
            </w:r>
            <w:r>
              <w:t>intra-band</w:t>
            </w:r>
            <w:r>
              <w:rPr>
                <w:rFonts w:hint="eastAsia" w:eastAsia="宋体"/>
                <w:lang w:val="en-US" w:eastAsia="zh-CN"/>
              </w:rPr>
              <w:t xml:space="preserve"> or inter-band</w:t>
            </w:r>
            <w:r>
              <w:t xml:space="preserve"> carrier aggregation is </w:t>
            </w:r>
            <w:r>
              <w:rPr>
                <w:rFonts w:hint="eastAsia" w:eastAsia="宋体"/>
                <w:lang w:val="en-US" w:eastAsia="zh-CN"/>
              </w:rPr>
              <w:t>configured</w:t>
            </w:r>
            <w:r>
              <w:rPr>
                <w:rFonts w:hint="eastAsia" w:eastAsia="宋体"/>
                <w:i/>
                <w:iCs/>
                <w:lang w:val="en-US" w:eastAsia="zh-CN"/>
              </w:rPr>
              <w:t>]</w:t>
            </w:r>
            <w:r>
              <w:rPr>
                <w:lang w:eastAsia="zh-CN"/>
              </w:rPr>
              <w:t>,</w:t>
            </w:r>
          </w:p>
          <w:p>
            <w:pPr>
              <w:pStyle w:val="61"/>
              <w:numPr>
                <w:ilvl w:val="0"/>
                <w:numId w:val="0"/>
              </w:numPr>
              <w:ind w:leftChars="0"/>
              <w:rPr>
                <w:lang w:eastAsia="zh-CN"/>
              </w:rPr>
            </w:pPr>
            <w:r>
              <w:t>K</w:t>
            </w:r>
            <w:r>
              <w:rPr>
                <w:vertAlign w:val="subscript"/>
              </w:rPr>
              <w:t>layer1_measurement</w:t>
            </w:r>
            <w:r>
              <w:t xml:space="preserve">=1, </w:t>
            </w:r>
          </w:p>
          <w:p>
            <w:pPr>
              <w:pStyle w:val="68"/>
              <w:numPr>
                <w:ilvl w:val="0"/>
                <w:numId w:val="0"/>
              </w:numPr>
              <w:ind w:left="1135" w:leftChars="0"/>
            </w:pPr>
            <w:r>
              <w:t>-</w:t>
            </w:r>
            <w:r>
              <w:tab/>
            </w:r>
            <w:r>
              <w:t xml:space="preserve">if all of the reference signals configured for RLM, BFD, CBD or L1-RSRP for beam reporting outside measurement gap are not fully overlapped by intra-frequency SMTC occasions, or </w:t>
            </w:r>
          </w:p>
          <w:p>
            <w:pPr>
              <w:pStyle w:val="68"/>
              <w:numPr>
                <w:ilvl w:val="0"/>
                <w:numId w:val="0"/>
              </w:numPr>
              <w:ind w:left="1135" w:leftChars="0"/>
            </w:pPr>
            <w:r>
              <w:t>-</w:t>
            </w:r>
            <w:r>
              <w:tab/>
            </w:r>
            <w:r>
              <w:t xml:space="preserve">if all of the reference signal configured for RLM, BFD, CBD or L1-RSRP for beam reporting </w:t>
            </w:r>
            <w:r>
              <w:rPr>
                <w:rFonts w:hint="eastAsia"/>
                <w:highlight w:val="yellow"/>
                <w:lang w:val="en-US" w:eastAsia="zh-CN"/>
              </w:rPr>
              <w:t xml:space="preserve">on any serving frequency in the same band </w:t>
            </w:r>
            <w:r>
              <w:t xml:space="preserve">outside measurement gap and fully-overlapped by intra-frequency SMTC occasions are not overlapped with any of the SSB symbols and the RSSI symbols, and </w:t>
            </w:r>
            <w:r>
              <w:rPr>
                <w:highlight w:val="yellow"/>
              </w:rPr>
              <w:t>1</w:t>
            </w:r>
            <w:r>
              <w:t xml:space="preserve"> symbol before each consecutive SSB symbols and the RSSI symbols, and </w:t>
            </w:r>
            <w:r>
              <w:rPr>
                <w:highlight w:val="yellow"/>
              </w:rPr>
              <w:t>1</w:t>
            </w:r>
            <w:r>
              <w:t xml:space="preserve"> symbol after each consecutive SSB symbols and the RSSI symbols, given that </w:t>
            </w:r>
            <w:r>
              <w:rPr>
                <w:i/>
              </w:rPr>
              <w:t xml:space="preserve">SSB-ToMeasure </w:t>
            </w:r>
            <w:r>
              <w:t>and</w:t>
            </w:r>
            <w:r>
              <w:rPr>
                <w:i/>
              </w:rPr>
              <w:t xml:space="preserve"> SS-RSSI-Measurement </w:t>
            </w:r>
            <w:r>
              <w:t>are configured,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rPr>
                <w:rFonts w:hint="eastAsia"/>
                <w:i/>
                <w:lang w:val="en-US" w:eastAsia="zh-CN"/>
              </w:rPr>
              <w:t>, or</w:t>
            </w:r>
            <w:r>
              <w:t>;</w:t>
            </w:r>
          </w:p>
          <w:p>
            <w:pPr>
              <w:pStyle w:val="68"/>
              <w:numPr>
                <w:ilvl w:val="0"/>
                <w:numId w:val="0"/>
              </w:numPr>
              <w:ind w:left="1135" w:leftChars="0"/>
            </w:pPr>
            <w:r>
              <w:t>-</w:t>
            </w:r>
            <w:r>
              <w:tab/>
            </w:r>
            <w:r>
              <w:t xml:space="preserve">if all of the reference signal configured for RLM, BFD, CBD or L1-RSRP for beam reporting </w:t>
            </w:r>
            <w:r>
              <w:rPr>
                <w:rFonts w:hint="eastAsia"/>
                <w:highlight w:val="yellow"/>
                <w:lang w:val="en-US" w:eastAsia="zh-CN"/>
              </w:rPr>
              <w:t xml:space="preserve">on any serving frequency in different band </w:t>
            </w:r>
            <w:r>
              <w:t xml:space="preserve">outside measurement gap and fully-overlapped by intra-frequency SMTC occasions are not overlapped with any of the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before each consecutive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after each consecutive SSB symbols and the RSSI symbols, given that </w:t>
            </w:r>
            <w:r>
              <w:rPr>
                <w:i/>
              </w:rPr>
              <w:t xml:space="preserve">SSB-ToMeasure </w:t>
            </w:r>
            <w:r>
              <w:t>and</w:t>
            </w:r>
            <w:r>
              <w:rPr>
                <w:i/>
              </w:rPr>
              <w:t xml:space="preserve"> SS-RSSI-Measurement </w:t>
            </w:r>
            <w:r>
              <w:t>are configured</w:t>
            </w:r>
            <w:r>
              <w:rPr>
                <w:rFonts w:hint="eastAsia"/>
                <w:lang w:val="en-US" w:eastAsia="zh-CN"/>
              </w:rPr>
              <w:t xml:space="preserve"> </w:t>
            </w:r>
            <w:r>
              <w:rPr>
                <w:rFonts w:hint="eastAsia"/>
                <w:highlight w:val="yellow"/>
                <w:lang w:val="en-US" w:eastAsia="zh-CN"/>
              </w:rPr>
              <w:t>and the UE is capable of [common Rx beam between PCC band and SCC band]</w:t>
            </w:r>
            <w:r>
              <w:t>,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rPr>
                <w:rFonts w:hint="eastAsia"/>
                <w:i/>
                <w:lang w:val="en-US" w:eastAsia="zh-CN"/>
              </w:rPr>
              <w:t>, or</w:t>
            </w:r>
            <w:r>
              <w:t>;</w:t>
            </w:r>
          </w:p>
          <w:p>
            <w:pPr>
              <w:pStyle w:val="68"/>
              <w:numPr>
                <w:ilvl w:val="0"/>
                <w:numId w:val="0"/>
              </w:numPr>
              <w:ind w:left="1135" w:leftChars="0"/>
              <w:rPr>
                <w:rFonts w:hint="default"/>
                <w:lang w:val="en-US" w:eastAsia="zh-CN"/>
              </w:rPr>
            </w:pPr>
            <w:r>
              <w:rPr>
                <w:lang w:val="en-US" w:eastAsia="zh-CN"/>
              </w:rPr>
              <w:t xml:space="preserve">- if </w:t>
            </w:r>
            <w:r>
              <w:rPr>
                <w:rFonts w:hint="eastAsia"/>
                <w:lang w:val="en-US" w:eastAsia="zh-CN"/>
              </w:rPr>
              <w:t xml:space="preserve">all of the reference signals configured for RLM, BFD, CBD or L1-RSRP for beam reporting </w:t>
            </w:r>
            <w:r>
              <w:rPr>
                <w:rFonts w:hint="eastAsia"/>
                <w:highlight w:val="yellow"/>
                <w:lang w:val="en-US" w:eastAsia="zh-CN"/>
              </w:rPr>
              <w:t xml:space="preserve">are on any serving frequency in different band </w:t>
            </w:r>
            <w:r>
              <w:rPr>
                <w:rFonts w:hint="eastAsia"/>
                <w:lang w:val="en-US" w:eastAsia="zh-CN"/>
              </w:rPr>
              <w:t xml:space="preserve">outside measurement gap </w:t>
            </w:r>
            <w:r>
              <w:rPr>
                <w:highlight w:val="yellow"/>
              </w:rPr>
              <w:t xml:space="preserve">and UE </w:t>
            </w:r>
            <w:r>
              <w:rPr>
                <w:rFonts w:hint="eastAsia"/>
                <w:highlight w:val="yellow"/>
                <w:lang w:val="en-US" w:eastAsia="zh-CN"/>
              </w:rPr>
              <w:t>is not capable of</w:t>
            </w:r>
            <w:r>
              <w:rPr>
                <w:highlight w:val="yellow"/>
              </w:rPr>
              <w:t xml:space="preserve"> </w:t>
            </w:r>
            <w:r>
              <w:rPr>
                <w:highlight w:val="yellow"/>
                <w:lang w:val="en-US" w:eastAsia="zh-CN"/>
              </w:rPr>
              <w:t>[</w:t>
            </w:r>
            <w:r>
              <w:rPr>
                <w:rFonts w:hint="eastAsia"/>
                <w:highlight w:val="yellow"/>
                <w:lang w:val="en-US" w:eastAsia="zh-CN"/>
              </w:rPr>
              <w:t>common Rx beam between PCC band and SCC band</w:t>
            </w:r>
            <w:r>
              <w:rPr>
                <w:lang w:val="en-US" w:eastAsia="zh-CN"/>
              </w:rPr>
              <w:t>]</w:t>
            </w:r>
            <w:r>
              <w:rPr>
                <w:rFonts w:hint="eastAsia"/>
                <w:lang w:val="en-US" w:eastAsia="zh-CN"/>
              </w:rPr>
              <w:t>.</w:t>
            </w:r>
          </w:p>
          <w:p>
            <w:pPr>
              <w:pStyle w:val="68"/>
              <w:numPr>
                <w:ilvl w:val="0"/>
                <w:numId w:val="0"/>
              </w:numPr>
              <w:ind w:leftChars="0"/>
              <w:rPr>
                <w:rFonts w:hint="eastAsia" w:eastAsia="宋体"/>
                <w:vertAlign w:val="baseline"/>
                <w:lang w:val="en-US" w:eastAsia="zh-CN"/>
              </w:rPr>
            </w:pPr>
            <w:r>
              <w:rPr>
                <w:rFonts w:hint="eastAsia"/>
                <w:lang w:eastAsia="zh-CN"/>
              </w:rPr>
              <w:t>Otherwise</w:t>
            </w:r>
            <w:r>
              <w:rPr>
                <w:lang w:eastAsia="zh-CN"/>
              </w:rPr>
              <w:t xml:space="preserve">, </w:t>
            </w:r>
            <w:r>
              <w:t>K</w:t>
            </w:r>
            <w:r>
              <w:rPr>
                <w:vertAlign w:val="subscript"/>
              </w:rPr>
              <w:t>layer1_measurement</w:t>
            </w:r>
            <w:r>
              <w:t>=1</w:t>
            </w:r>
            <w:r>
              <w:rPr>
                <w:rFonts w:hint="eastAsia" w:eastAsia="宋体"/>
                <w:lang w:val="en-US" w:eastAsia="zh-CN"/>
              </w:rPr>
              <w:t>.5</w:t>
            </w:r>
            <w:r>
              <w:t>.</w:t>
            </w:r>
          </w:p>
        </w:tc>
      </w:tr>
    </w:tbl>
    <w:p>
      <w:pPr>
        <w:pStyle w:val="12"/>
        <w:bidi w:val="0"/>
        <w:rPr>
          <w:rFonts w:hint="eastAsia" w:eastAsia="宋体"/>
          <w:lang w:val="en-US" w:eastAsia="zh-CN"/>
        </w:rPr>
      </w:pPr>
      <w:r>
        <w:rPr>
          <w:rFonts w:hint="eastAsia" w:eastAsia="宋体"/>
          <w:lang w:val="en-US" w:eastAsia="zh-CN"/>
        </w:rPr>
        <w:t>The 2</w:t>
      </w:r>
      <w:r>
        <w:rPr>
          <w:rFonts w:hint="eastAsia" w:eastAsia="宋体"/>
          <w:vertAlign w:val="superscript"/>
          <w:lang w:val="en-US" w:eastAsia="zh-CN"/>
        </w:rPr>
        <w:t>nd</w:t>
      </w:r>
      <w:r>
        <w:rPr>
          <w:rFonts w:hint="eastAsia" w:eastAsia="宋体"/>
          <w:lang w:val="en-US" w:eastAsia="zh-CN"/>
        </w:rPr>
        <w:t xml:space="preserve"> and 3</w:t>
      </w:r>
      <w:r>
        <w:rPr>
          <w:rFonts w:hint="eastAsia" w:eastAsia="宋体"/>
          <w:vertAlign w:val="superscript"/>
          <w:lang w:val="en-US" w:eastAsia="zh-CN"/>
        </w:rPr>
        <w:t>rd</w:t>
      </w:r>
      <w:r>
        <w:rPr>
          <w:rFonts w:hint="eastAsia" w:eastAsia="宋体"/>
          <w:lang w:val="en-US" w:eastAsia="zh-CN"/>
        </w:rPr>
        <w:t xml:space="preserve"> sub-bullets target at intra-band CA and inter-band CA respectively. In the two cases, as we analysized above, different range of symbol(s) before and after the target SSB symbols are impacted, so we need these two sub-bellets.</w:t>
      </w:r>
    </w:p>
    <w:p>
      <w:pPr>
        <w:pStyle w:val="12"/>
        <w:bidi w:val="0"/>
        <w:rPr>
          <w:rFonts w:hint="eastAsia" w:eastAsia="宋体"/>
          <w:lang w:val="en-US" w:eastAsia="zh-CN"/>
        </w:rPr>
      </w:pPr>
      <w:r>
        <w:rPr>
          <w:rFonts w:hint="eastAsia" w:eastAsia="宋体"/>
          <w:lang w:val="en-US" w:eastAsia="zh-CN"/>
        </w:rPr>
        <w:t>The 4</w:t>
      </w:r>
      <w:r>
        <w:rPr>
          <w:rFonts w:hint="eastAsia" w:eastAsia="宋体"/>
          <w:vertAlign w:val="superscript"/>
          <w:lang w:val="en-US" w:eastAsia="zh-CN"/>
        </w:rPr>
        <w:t>th</w:t>
      </w:r>
      <w:r>
        <w:rPr>
          <w:rFonts w:hint="eastAsia" w:eastAsia="宋体"/>
          <w:lang w:val="en-US" w:eastAsia="zh-CN"/>
        </w:rPr>
        <w:t xml:space="preserve"> sub-bullet aims to cover all antenna type cases of inter-band CA except Case 4. Under these cases, the strategy of legacy FR1 should be applied, i.e. no sharing factor between L1 and L3 measurements. So no need to pay attention to the details of overlapping issue.</w:t>
      </w:r>
    </w:p>
    <w:p>
      <w:pPr>
        <w:pStyle w:val="12"/>
        <w:bidi w:val="0"/>
        <w:rPr>
          <w:rFonts w:hint="eastAsia" w:eastAsia="宋体"/>
          <w:lang w:val="en-US" w:eastAsia="zh-CN"/>
        </w:rPr>
      </w:pPr>
      <w:r>
        <w:rPr>
          <w:rFonts w:hint="eastAsia" w:eastAsia="宋体"/>
          <w:lang w:val="en-US" w:eastAsia="zh-CN"/>
        </w:rPr>
        <w:t>We provide draft CR in this meeting and the above logic is applied to drafting CR.</w:t>
      </w:r>
    </w:p>
    <w:p>
      <w:pPr>
        <w:pStyle w:val="12"/>
        <w:numPr>
          <w:ilvl w:val="0"/>
          <w:numId w:val="6"/>
        </w:numPr>
        <w:bidi w:val="0"/>
        <w:ind w:left="420" w:leftChars="0" w:hanging="420" w:firstLineChars="0"/>
        <w:rPr>
          <w:rFonts w:hint="default" w:eastAsia="宋体"/>
          <w:lang w:val="en-US" w:eastAsia="zh-CN"/>
        </w:rPr>
      </w:pPr>
      <w:r>
        <w:rPr>
          <w:rFonts w:hint="eastAsia" w:eastAsia="宋体"/>
          <w:lang w:val="en-US" w:eastAsia="zh-CN"/>
        </w:rPr>
        <w:t>For inter-frequency measurement:</w:t>
      </w:r>
    </w:p>
    <w:p>
      <w:pPr>
        <w:pStyle w:val="12"/>
        <w:numPr>
          <w:ilvl w:val="0"/>
          <w:numId w:val="0"/>
        </w:numPr>
        <w:bidi w:val="0"/>
        <w:ind w:leftChars="0"/>
        <w:rPr>
          <w:rFonts w:hint="default" w:eastAsia="宋体"/>
          <w:lang w:val="en-US" w:eastAsia="zh-CN"/>
        </w:rPr>
      </w:pPr>
      <w:r>
        <w:rPr>
          <w:rFonts w:hint="eastAsia" w:eastAsia="宋体"/>
          <w:lang w:val="en-US" w:eastAsia="zh-CN"/>
        </w:rPr>
        <w:t>The situation is a bit complicated since the target MO in inter-frequency measurement could be in the PCC band, SCC band or a 3</w:t>
      </w:r>
      <w:r>
        <w:rPr>
          <w:rFonts w:hint="eastAsia" w:eastAsia="宋体"/>
          <w:vertAlign w:val="superscript"/>
          <w:lang w:val="en-US" w:eastAsia="zh-CN"/>
        </w:rPr>
        <w:t>rd</w:t>
      </w:r>
      <w:r>
        <w:rPr>
          <w:rFonts w:hint="eastAsia" w:eastAsia="宋体"/>
          <w:lang w:val="en-US" w:eastAsia="zh-CN"/>
        </w:rPr>
        <w:t xml:space="preserve"> band. When the target MO of inter-frequency measurement is in the PCC band or SCC band, same strategy as intra-frequency measurement could be applied to decide K</w:t>
      </w:r>
      <w:r>
        <w:rPr>
          <w:rFonts w:hint="eastAsia" w:eastAsia="宋体"/>
          <w:sz w:val="13"/>
          <w:szCs w:val="13"/>
          <w:lang w:val="en-US" w:eastAsia="zh-CN"/>
        </w:rPr>
        <w:t>layer1_measurement</w:t>
      </w:r>
      <w:r>
        <w:rPr>
          <w:rFonts w:hint="eastAsia" w:eastAsia="宋体"/>
          <w:lang w:val="en-US" w:eastAsia="zh-CN"/>
        </w:rPr>
        <w:t>. While for the case of the target MO is in a 3</w:t>
      </w:r>
      <w:r>
        <w:rPr>
          <w:rFonts w:hint="eastAsia" w:eastAsia="宋体"/>
          <w:vertAlign w:val="superscript"/>
          <w:lang w:val="en-US" w:eastAsia="zh-CN"/>
        </w:rPr>
        <w:t>rd</w:t>
      </w:r>
      <w:r>
        <w:rPr>
          <w:rFonts w:hint="eastAsia" w:eastAsia="宋体"/>
          <w:lang w:val="en-US" w:eastAsia="zh-CN"/>
        </w:rPr>
        <w:t xml:space="preserve"> band, actually we need to check the UE capability status for the corresponding {PCC band, 3</w:t>
      </w:r>
      <w:r>
        <w:rPr>
          <w:rFonts w:hint="eastAsia" w:eastAsia="宋体"/>
          <w:vertAlign w:val="superscript"/>
          <w:lang w:val="en-US" w:eastAsia="zh-CN"/>
        </w:rPr>
        <w:t>rd</w:t>
      </w:r>
      <w:r>
        <w:rPr>
          <w:rFonts w:hint="eastAsia" w:eastAsia="宋体"/>
          <w:lang w:val="en-US" w:eastAsia="zh-CN"/>
        </w:rPr>
        <w:t xml:space="preserve"> band} and {SCC band, 3</w:t>
      </w:r>
      <w:r>
        <w:rPr>
          <w:rFonts w:hint="eastAsia" w:eastAsia="宋体"/>
          <w:vertAlign w:val="superscript"/>
          <w:lang w:val="en-US" w:eastAsia="zh-CN"/>
        </w:rPr>
        <w:t>rd</w:t>
      </w:r>
      <w:r>
        <w:rPr>
          <w:rFonts w:hint="eastAsia" w:eastAsia="宋体"/>
          <w:lang w:val="en-US" w:eastAsia="zh-CN"/>
        </w:rPr>
        <w:t xml:space="preserve"> band}. Our preference is to allow the UE capability reporting at least when {PCC band, 3</w:t>
      </w:r>
      <w:r>
        <w:rPr>
          <w:rFonts w:hint="eastAsia" w:eastAsia="宋体"/>
          <w:vertAlign w:val="superscript"/>
          <w:lang w:val="en-US" w:eastAsia="zh-CN"/>
        </w:rPr>
        <w:t>rd</w:t>
      </w:r>
      <w:r>
        <w:rPr>
          <w:rFonts w:hint="eastAsia" w:eastAsia="宋体"/>
          <w:lang w:val="en-US" w:eastAsia="zh-CN"/>
        </w:rPr>
        <w:t xml:space="preserve"> band} and {SCC band, 3</w:t>
      </w:r>
      <w:r>
        <w:rPr>
          <w:rFonts w:hint="eastAsia" w:eastAsia="宋体"/>
          <w:vertAlign w:val="superscript"/>
          <w:lang w:val="en-US" w:eastAsia="zh-CN"/>
        </w:rPr>
        <w:t>rd</w:t>
      </w:r>
      <w:r>
        <w:rPr>
          <w:rFonts w:hint="eastAsia" w:eastAsia="宋体"/>
          <w:lang w:val="en-US" w:eastAsia="zh-CN"/>
        </w:rPr>
        <w:t xml:space="preserve"> band} are supported Band combination. As a result, as long as UE would report this capability status for {PCC band, 3</w:t>
      </w:r>
      <w:r>
        <w:rPr>
          <w:rFonts w:hint="eastAsia" w:eastAsia="宋体"/>
          <w:vertAlign w:val="superscript"/>
          <w:lang w:val="en-US" w:eastAsia="zh-CN"/>
        </w:rPr>
        <w:t>rd</w:t>
      </w:r>
      <w:r>
        <w:rPr>
          <w:rFonts w:hint="eastAsia" w:eastAsia="宋体"/>
          <w:lang w:val="en-US" w:eastAsia="zh-CN"/>
        </w:rPr>
        <w:t xml:space="preserve"> band} and {SCC band, 3</w:t>
      </w:r>
      <w:r>
        <w:rPr>
          <w:rFonts w:hint="eastAsia" w:eastAsia="宋体"/>
          <w:vertAlign w:val="superscript"/>
          <w:lang w:val="en-US" w:eastAsia="zh-CN"/>
        </w:rPr>
        <w:t>rd</w:t>
      </w:r>
      <w:r>
        <w:rPr>
          <w:rFonts w:hint="eastAsia" w:eastAsia="宋体"/>
          <w:lang w:val="en-US" w:eastAsia="zh-CN"/>
        </w:rPr>
        <w:t xml:space="preserve"> band}, the same strategy as intra-frequency measurement could be reused.</w:t>
      </w:r>
    </w:p>
    <w:p>
      <w:pPr>
        <w:pStyle w:val="12"/>
        <w:numPr>
          <w:ilvl w:val="0"/>
          <w:numId w:val="0"/>
        </w:numPr>
        <w:bidi w:val="0"/>
        <w:ind w:leftChars="0"/>
        <w:rPr>
          <w:rFonts w:hint="eastAsia" w:eastAsia="宋体"/>
          <w:lang w:val="en-US" w:eastAsia="zh-CN"/>
        </w:rPr>
      </w:pPr>
      <w:r>
        <w:rPr>
          <w:rFonts w:hint="eastAsia" w:eastAsia="宋体"/>
          <w:lang w:val="en-US" w:eastAsia="zh-CN"/>
        </w:rPr>
        <w:t>Based on these logics, we draft the structure of K</w:t>
      </w:r>
      <w:r>
        <w:rPr>
          <w:rFonts w:hint="eastAsia" w:eastAsia="宋体"/>
          <w:sz w:val="13"/>
          <w:szCs w:val="13"/>
          <w:lang w:val="en-US" w:eastAsia="zh-CN"/>
        </w:rPr>
        <w:t xml:space="preserve">layer1_measurement </w:t>
      </w:r>
      <w:r>
        <w:rPr>
          <w:rFonts w:hint="eastAsia" w:eastAsia="宋体"/>
          <w:lang w:val="en-US" w:eastAsia="zh-CN"/>
        </w:rPr>
        <w:t>for inter-frequency measurement as below and acutally it is fully same as the case of intra-frequency measurement: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lang w:eastAsia="zh-CN"/>
              </w:rPr>
            </w:pPr>
            <w:r>
              <w:rPr>
                <w:lang w:eastAsia="zh-CN"/>
              </w:rPr>
              <w:t xml:space="preserve">For UE </w:t>
            </w:r>
            <w:r>
              <w:rPr>
                <w:rFonts w:hint="eastAsia"/>
                <w:lang w:val="en-US" w:eastAsia="zh-CN"/>
              </w:rPr>
              <w:t>capable of [</w:t>
            </w:r>
            <w:r>
              <w:rPr>
                <w:i/>
                <w:iCs/>
              </w:rPr>
              <w:t>antennaArrayType-r1</w:t>
            </w:r>
            <w:r>
              <w:rPr>
                <w:rFonts w:hint="eastAsia" w:eastAsia="宋体"/>
                <w:i/>
                <w:iCs/>
                <w:lang w:val="en-US" w:eastAsia="zh-CN"/>
              </w:rPr>
              <w:t>8] and [</w:t>
            </w:r>
            <w:r>
              <w:t>intra-band</w:t>
            </w:r>
            <w:r>
              <w:rPr>
                <w:rFonts w:hint="eastAsia" w:eastAsia="宋体"/>
                <w:lang w:val="en-US" w:eastAsia="zh-CN"/>
              </w:rPr>
              <w:t xml:space="preserve"> or inter-band</w:t>
            </w:r>
            <w:r>
              <w:t xml:space="preserve"> carrier aggregation is </w:t>
            </w:r>
            <w:r>
              <w:rPr>
                <w:rFonts w:hint="eastAsia" w:eastAsia="宋体"/>
                <w:lang w:val="en-US" w:eastAsia="zh-CN"/>
              </w:rPr>
              <w:t>configured</w:t>
            </w:r>
            <w:r>
              <w:rPr>
                <w:rFonts w:hint="eastAsia" w:eastAsia="宋体"/>
                <w:i/>
                <w:iCs/>
                <w:lang w:val="en-US" w:eastAsia="zh-CN"/>
              </w:rPr>
              <w:t>]</w:t>
            </w:r>
            <w:r>
              <w:rPr>
                <w:lang w:eastAsia="zh-CN"/>
              </w:rPr>
              <w:t>,</w:t>
            </w:r>
          </w:p>
          <w:p>
            <w:pPr>
              <w:pStyle w:val="61"/>
              <w:numPr>
                <w:ilvl w:val="0"/>
                <w:numId w:val="0"/>
              </w:numPr>
              <w:ind w:leftChars="0"/>
              <w:rPr>
                <w:lang w:eastAsia="zh-CN"/>
              </w:rPr>
            </w:pPr>
            <w:r>
              <w:t>K</w:t>
            </w:r>
            <w:r>
              <w:rPr>
                <w:vertAlign w:val="subscript"/>
              </w:rPr>
              <w:t>layer1_measurement</w:t>
            </w:r>
            <w:r>
              <w:t xml:space="preserve">=1, </w:t>
            </w:r>
          </w:p>
          <w:p>
            <w:pPr>
              <w:pStyle w:val="68"/>
              <w:numPr>
                <w:ilvl w:val="0"/>
                <w:numId w:val="0"/>
              </w:numPr>
              <w:ind w:left="1135" w:leftChars="0"/>
            </w:pPr>
            <w:r>
              <w:t>-</w:t>
            </w:r>
            <w:r>
              <w:tab/>
            </w:r>
            <w:r>
              <w:t xml:space="preserve">if all of the reference signals configured for RLM, BFD, CBD or L1-RSRP for beam reporting outside measurement gap are not fully overlapped by intra-frequency SMTC occasions, or </w:t>
            </w:r>
          </w:p>
          <w:p>
            <w:pPr>
              <w:pStyle w:val="68"/>
              <w:numPr>
                <w:ilvl w:val="0"/>
                <w:numId w:val="0"/>
              </w:numPr>
              <w:ind w:left="1135" w:leftChars="0"/>
            </w:pPr>
            <w:r>
              <w:t>-</w:t>
            </w:r>
            <w:r>
              <w:tab/>
            </w:r>
            <w:r>
              <w:t xml:space="preserve">if all of the reference signal configured for RLM, BFD, CBD or L1-RSRP for beam reporting </w:t>
            </w:r>
            <w:r>
              <w:rPr>
                <w:rFonts w:hint="eastAsia"/>
                <w:highlight w:val="yellow"/>
                <w:lang w:val="en-US" w:eastAsia="zh-CN"/>
              </w:rPr>
              <w:t xml:space="preserve">on any serving frequency in the same band </w:t>
            </w:r>
            <w:r>
              <w:t xml:space="preserve">outside measurement gap and fully-overlapped by intra-frequency SMTC occasions are not overlapped with any of the SSB symbols and the RSSI symbols, and </w:t>
            </w:r>
            <w:r>
              <w:rPr>
                <w:highlight w:val="yellow"/>
              </w:rPr>
              <w:t>1</w:t>
            </w:r>
            <w:r>
              <w:t xml:space="preserve"> symbol before each consecutive SSB symbols and the RSSI symbols, and </w:t>
            </w:r>
            <w:r>
              <w:rPr>
                <w:highlight w:val="yellow"/>
              </w:rPr>
              <w:t>1</w:t>
            </w:r>
            <w:r>
              <w:t xml:space="preserve"> symbol after each consecutive SSB symbols and the RSSI symbols, given that </w:t>
            </w:r>
            <w:r>
              <w:rPr>
                <w:i/>
              </w:rPr>
              <w:t xml:space="preserve">SSB-ToMeasure </w:t>
            </w:r>
            <w:r>
              <w:t>and</w:t>
            </w:r>
            <w:r>
              <w:rPr>
                <w:i/>
              </w:rPr>
              <w:t xml:space="preserve"> SS-RSSI-Measurement </w:t>
            </w:r>
            <w:r>
              <w:t>are configured,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rPr>
                <w:rFonts w:hint="eastAsia"/>
                <w:i/>
                <w:lang w:val="en-US" w:eastAsia="zh-CN"/>
              </w:rPr>
              <w:t>, or</w:t>
            </w:r>
            <w:r>
              <w:t>;</w:t>
            </w:r>
          </w:p>
          <w:p>
            <w:pPr>
              <w:pStyle w:val="68"/>
              <w:numPr>
                <w:ilvl w:val="0"/>
                <w:numId w:val="0"/>
              </w:numPr>
              <w:ind w:left="1135" w:leftChars="0"/>
            </w:pPr>
            <w:r>
              <w:t>-</w:t>
            </w:r>
            <w:r>
              <w:tab/>
            </w:r>
            <w:r>
              <w:t xml:space="preserve">if all of the reference signal configured for RLM, BFD, CBD or L1-RSRP for beam reporting </w:t>
            </w:r>
            <w:r>
              <w:rPr>
                <w:rFonts w:hint="eastAsia"/>
                <w:highlight w:val="yellow"/>
                <w:lang w:val="en-US" w:eastAsia="zh-CN"/>
              </w:rPr>
              <w:t xml:space="preserve">on any serving frequency in different band </w:t>
            </w:r>
            <w:r>
              <w:t xml:space="preserve">outside measurement gap and fully-overlapped by intra-frequency SMTC occasions are not overlapped with any of the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before each consecutive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after each consecutive SSB symbols and the RSSI symbols, given that </w:t>
            </w:r>
            <w:r>
              <w:rPr>
                <w:i/>
              </w:rPr>
              <w:t xml:space="preserve">SSB-ToMeasure </w:t>
            </w:r>
            <w:r>
              <w:t>and</w:t>
            </w:r>
            <w:r>
              <w:rPr>
                <w:i/>
              </w:rPr>
              <w:t xml:space="preserve"> SS-RSSI-Measurement </w:t>
            </w:r>
            <w:r>
              <w:t>are configured</w:t>
            </w:r>
            <w:r>
              <w:rPr>
                <w:rFonts w:hint="eastAsia"/>
                <w:lang w:val="en-US" w:eastAsia="zh-CN"/>
              </w:rPr>
              <w:t xml:space="preserve"> </w:t>
            </w:r>
            <w:r>
              <w:rPr>
                <w:rFonts w:hint="eastAsia"/>
                <w:highlight w:val="yellow"/>
                <w:lang w:val="en-US" w:eastAsia="zh-CN"/>
              </w:rPr>
              <w:t>and the UE is capable of [common Rx beam between PCC band and SCC band]</w:t>
            </w:r>
            <w:r>
              <w:t>, where SSB symbols are indicated by 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rPr>
                <w:rFonts w:hint="eastAsia"/>
                <w:i/>
                <w:lang w:val="en-US" w:eastAsia="zh-CN"/>
              </w:rPr>
              <w:t>, or</w:t>
            </w:r>
            <w:r>
              <w:t>;</w:t>
            </w:r>
          </w:p>
          <w:p>
            <w:pPr>
              <w:pStyle w:val="68"/>
              <w:numPr>
                <w:ilvl w:val="0"/>
                <w:numId w:val="0"/>
              </w:numPr>
              <w:ind w:left="1135" w:leftChars="0"/>
              <w:rPr>
                <w:rFonts w:hint="default"/>
                <w:lang w:val="en-US" w:eastAsia="zh-CN"/>
              </w:rPr>
            </w:pPr>
            <w:r>
              <w:rPr>
                <w:lang w:val="en-US" w:eastAsia="zh-CN"/>
              </w:rPr>
              <w:t xml:space="preserve">- if </w:t>
            </w:r>
            <w:r>
              <w:rPr>
                <w:rFonts w:hint="eastAsia"/>
                <w:lang w:val="en-US" w:eastAsia="zh-CN"/>
              </w:rPr>
              <w:t xml:space="preserve">all of the reference signals configured for RLM, BFD, CBD or L1-RSRP for beam reporting </w:t>
            </w:r>
            <w:r>
              <w:rPr>
                <w:rFonts w:hint="eastAsia"/>
                <w:highlight w:val="yellow"/>
                <w:lang w:val="en-US" w:eastAsia="zh-CN"/>
              </w:rPr>
              <w:t xml:space="preserve">are on any serving frequency in different band </w:t>
            </w:r>
            <w:r>
              <w:rPr>
                <w:rFonts w:hint="eastAsia"/>
                <w:lang w:val="en-US" w:eastAsia="zh-CN"/>
              </w:rPr>
              <w:t xml:space="preserve">outside measurement gap </w:t>
            </w:r>
            <w:r>
              <w:rPr>
                <w:highlight w:val="yellow"/>
              </w:rPr>
              <w:t xml:space="preserve">and UE </w:t>
            </w:r>
            <w:r>
              <w:rPr>
                <w:rFonts w:hint="eastAsia"/>
                <w:highlight w:val="yellow"/>
                <w:lang w:val="en-US" w:eastAsia="zh-CN"/>
              </w:rPr>
              <w:t>is not capable of</w:t>
            </w:r>
            <w:r>
              <w:rPr>
                <w:highlight w:val="yellow"/>
              </w:rPr>
              <w:t xml:space="preserve"> </w:t>
            </w:r>
            <w:r>
              <w:rPr>
                <w:highlight w:val="yellow"/>
                <w:lang w:val="en-US" w:eastAsia="zh-CN"/>
              </w:rPr>
              <w:t>[</w:t>
            </w:r>
            <w:r>
              <w:rPr>
                <w:rFonts w:hint="eastAsia"/>
                <w:highlight w:val="yellow"/>
                <w:lang w:val="en-US" w:eastAsia="zh-CN"/>
              </w:rPr>
              <w:t>common Rx beam between PCC band and SCC band</w:t>
            </w:r>
            <w:r>
              <w:rPr>
                <w:lang w:val="en-US" w:eastAsia="zh-CN"/>
              </w:rPr>
              <w:t>]</w:t>
            </w:r>
            <w:r>
              <w:rPr>
                <w:rFonts w:hint="eastAsia"/>
                <w:lang w:val="en-US" w:eastAsia="zh-CN"/>
              </w:rPr>
              <w:t>.</w:t>
            </w:r>
          </w:p>
          <w:p>
            <w:pPr>
              <w:pStyle w:val="12"/>
              <w:numPr>
                <w:ilvl w:val="0"/>
                <w:numId w:val="0"/>
              </w:numPr>
              <w:bidi w:val="0"/>
              <w:rPr>
                <w:rFonts w:hint="default" w:eastAsia="宋体"/>
                <w:vertAlign w:val="baseline"/>
                <w:lang w:val="en-US" w:eastAsia="zh-CN"/>
              </w:rPr>
            </w:pPr>
            <w:r>
              <w:rPr>
                <w:rFonts w:hint="eastAsia"/>
                <w:lang w:eastAsia="zh-CN"/>
              </w:rPr>
              <w:t>Otherwise</w:t>
            </w:r>
            <w:r>
              <w:rPr>
                <w:lang w:eastAsia="zh-CN"/>
              </w:rPr>
              <w:t xml:space="preserve">, </w:t>
            </w:r>
            <w:r>
              <w:t>K</w:t>
            </w:r>
            <w:r>
              <w:rPr>
                <w:vertAlign w:val="subscript"/>
              </w:rPr>
              <w:t>layer1_measurement</w:t>
            </w:r>
            <w:r>
              <w:t>=1</w:t>
            </w:r>
            <w:r>
              <w:rPr>
                <w:rFonts w:hint="eastAsia" w:eastAsia="宋体"/>
                <w:lang w:val="en-US" w:eastAsia="zh-CN"/>
              </w:rPr>
              <w:t>.5</w:t>
            </w:r>
            <w:r>
              <w:t>.</w:t>
            </w:r>
          </w:p>
        </w:tc>
      </w:tr>
    </w:tbl>
    <w:p>
      <w:pPr>
        <w:pStyle w:val="12"/>
        <w:bidi w:val="0"/>
        <w:rPr>
          <w:rFonts w:hint="eastAsia"/>
          <w:b/>
          <w:bCs/>
          <w:lang w:val="en-US" w:eastAsia="zh-CN"/>
        </w:rPr>
      </w:pPr>
    </w:p>
    <w:p>
      <w:pPr>
        <w:pStyle w:val="12"/>
        <w:bidi w:val="0"/>
        <w:rPr>
          <w:rFonts w:hint="eastAsia"/>
          <w:b/>
          <w:bCs/>
          <w:lang w:val="en-US" w:eastAsia="zh-CN"/>
        </w:rPr>
      </w:pPr>
      <w:r>
        <w:rPr>
          <w:rFonts w:hint="eastAsia"/>
          <w:b/>
          <w:bCs/>
          <w:lang w:val="en-US" w:eastAsia="zh-CN"/>
        </w:rPr>
        <w:t xml:space="preserve">Proposal 5: Construct the </w:t>
      </w:r>
      <w:r>
        <w:t>K</w:t>
      </w:r>
      <w:r>
        <w:rPr>
          <w:vertAlign w:val="subscript"/>
        </w:rPr>
        <w:t>layer1_measurement</w:t>
      </w:r>
      <w:r>
        <w:rPr>
          <w:rFonts w:hint="eastAsia"/>
          <w:b/>
          <w:bCs/>
          <w:lang w:val="en-US" w:eastAsia="zh-CN"/>
        </w:rPr>
        <w:t xml:space="preserve"> for intra-frequency and inter-frequency L3 measurement as below(we highlighted the key points and companies could further check):</w:t>
      </w:r>
    </w:p>
    <w:p>
      <w:pPr>
        <w:rPr>
          <w:i/>
          <w:iCs/>
          <w:lang w:eastAsia="zh-CN"/>
        </w:rPr>
      </w:pPr>
      <w:r>
        <w:rPr>
          <w:i/>
          <w:iCs/>
          <w:lang w:eastAsia="zh-CN"/>
        </w:rPr>
        <w:t xml:space="preserve">For UE </w:t>
      </w:r>
      <w:r>
        <w:rPr>
          <w:rFonts w:hint="eastAsia"/>
          <w:i/>
          <w:iCs/>
          <w:lang w:val="en-US" w:eastAsia="zh-CN"/>
        </w:rPr>
        <w:t>capable of [</w:t>
      </w:r>
      <w:r>
        <w:rPr>
          <w:i/>
          <w:iCs/>
        </w:rPr>
        <w:t>antennaArrayType-r1</w:t>
      </w:r>
      <w:r>
        <w:rPr>
          <w:rFonts w:hint="eastAsia" w:eastAsia="宋体"/>
          <w:i/>
          <w:iCs/>
          <w:lang w:val="en-US" w:eastAsia="zh-CN"/>
        </w:rPr>
        <w:t>8] and [</w:t>
      </w:r>
      <w:r>
        <w:rPr>
          <w:i/>
          <w:iCs/>
        </w:rPr>
        <w:t>intra-band</w:t>
      </w:r>
      <w:r>
        <w:rPr>
          <w:rFonts w:hint="eastAsia" w:eastAsia="宋体"/>
          <w:i/>
          <w:iCs/>
          <w:lang w:val="en-US" w:eastAsia="zh-CN"/>
        </w:rPr>
        <w:t xml:space="preserve"> or inter-band</w:t>
      </w:r>
      <w:r>
        <w:rPr>
          <w:i/>
          <w:iCs/>
        </w:rPr>
        <w:t xml:space="preserve"> carrier aggregation is </w:t>
      </w:r>
      <w:r>
        <w:rPr>
          <w:rFonts w:hint="eastAsia" w:eastAsia="宋体"/>
          <w:i/>
          <w:iCs/>
          <w:lang w:val="en-US" w:eastAsia="zh-CN"/>
        </w:rPr>
        <w:t>configured]</w:t>
      </w:r>
      <w:r>
        <w:rPr>
          <w:i/>
          <w:iCs/>
          <w:lang w:eastAsia="zh-CN"/>
        </w:rPr>
        <w:t>,</w:t>
      </w:r>
    </w:p>
    <w:p>
      <w:pPr>
        <w:pStyle w:val="61"/>
        <w:numPr>
          <w:ilvl w:val="0"/>
          <w:numId w:val="0"/>
        </w:numPr>
        <w:ind w:leftChars="0"/>
        <w:rPr>
          <w:i/>
          <w:iCs/>
          <w:lang w:eastAsia="zh-CN"/>
        </w:rPr>
      </w:pPr>
      <w:r>
        <w:rPr>
          <w:i/>
          <w:iCs/>
        </w:rPr>
        <w:t>K</w:t>
      </w:r>
      <w:r>
        <w:rPr>
          <w:i/>
          <w:iCs/>
          <w:vertAlign w:val="subscript"/>
        </w:rPr>
        <w:t>layer1_measurement</w:t>
      </w:r>
      <w:r>
        <w:rPr>
          <w:i/>
          <w:iCs/>
        </w:rPr>
        <w:t xml:space="preserve">=1, </w:t>
      </w:r>
    </w:p>
    <w:p>
      <w:pPr>
        <w:pStyle w:val="68"/>
        <w:numPr>
          <w:ilvl w:val="0"/>
          <w:numId w:val="0"/>
        </w:numPr>
        <w:ind w:left="1135" w:leftChars="0"/>
        <w:rPr>
          <w:i/>
          <w:iCs/>
        </w:rPr>
      </w:pPr>
      <w:r>
        <w:rPr>
          <w:i/>
          <w:iCs/>
        </w:rPr>
        <w:t>-</w:t>
      </w:r>
      <w:r>
        <w:rPr>
          <w:i/>
          <w:iCs/>
        </w:rPr>
        <w:tab/>
      </w:r>
      <w:r>
        <w:rPr>
          <w:i/>
          <w:iCs/>
        </w:rPr>
        <w:t xml:space="preserve">if all of the reference signals configured for RLM, BFD, CBD or L1-RSRP for beam reporting outside measurement gap are not fully overlapped by intra-frequency SMTC occasions, or </w:t>
      </w:r>
    </w:p>
    <w:p>
      <w:pPr>
        <w:pStyle w:val="68"/>
        <w:numPr>
          <w:ilvl w:val="0"/>
          <w:numId w:val="0"/>
        </w:numPr>
        <w:ind w:left="1135" w:leftChars="0"/>
        <w:rPr>
          <w:i/>
          <w:iCs/>
        </w:rPr>
      </w:pPr>
      <w:r>
        <w:rPr>
          <w:i/>
          <w:iCs/>
        </w:rPr>
        <w:t>-</w:t>
      </w:r>
      <w:r>
        <w:rPr>
          <w:i/>
          <w:iCs/>
        </w:rPr>
        <w:tab/>
      </w:r>
      <w:r>
        <w:rPr>
          <w:i/>
          <w:iCs/>
        </w:rPr>
        <w:t xml:space="preserve">if all of the reference signal configured for RLM, BFD, CBD or L1-RSRP for beam reporting </w:t>
      </w:r>
      <w:r>
        <w:rPr>
          <w:rFonts w:hint="eastAsia"/>
          <w:i/>
          <w:iCs/>
          <w:highlight w:val="yellow"/>
          <w:lang w:val="en-US" w:eastAsia="zh-CN"/>
        </w:rPr>
        <w:t xml:space="preserve">on any serving frequency in the same band </w:t>
      </w:r>
      <w:r>
        <w:rPr>
          <w:i/>
          <w:iCs/>
        </w:rPr>
        <w:t xml:space="preserve">outside measurement gap and fully-overlapped by intra-frequency SMTC occasions are not overlapped with any of the SSB symbols and the RSSI symbols, and </w:t>
      </w:r>
      <w:r>
        <w:rPr>
          <w:i/>
          <w:iCs/>
          <w:highlight w:val="yellow"/>
        </w:rPr>
        <w:t>1</w:t>
      </w:r>
      <w:r>
        <w:rPr>
          <w:i/>
          <w:iCs/>
        </w:rPr>
        <w:t xml:space="preserve"> symbol before each consecutive SSB symbols and the RSSI symbols, and </w:t>
      </w:r>
      <w:r>
        <w:rPr>
          <w:i/>
          <w:iCs/>
          <w:highlight w:val="yellow"/>
        </w:rPr>
        <w:t>1</w:t>
      </w:r>
      <w:r>
        <w:rPr>
          <w:i/>
          <w:iCs/>
        </w:rPr>
        <w:t xml:space="preserve"> symbol after each consecutive SSB symbols and the RSSI symbols, given that SSB-ToMeasure and SS-RSSI-Measurement are configured, where SSB symbols are indicated by the union</w:t>
      </w:r>
      <w:r>
        <w:rPr>
          <w:i/>
          <w:iCs/>
          <w:color w:val="00B050"/>
        </w:rPr>
        <w:t xml:space="preserve"> </w:t>
      </w:r>
      <w:r>
        <w:rPr>
          <w:i/>
          <w:iCs/>
        </w:rPr>
        <w:t>set of SSB-ToMeasure from all the configured</w:t>
      </w:r>
      <w:r>
        <w:rPr>
          <w:i/>
          <w:iCs/>
          <w:color w:val="00B050"/>
        </w:rPr>
        <w:t xml:space="preserve"> </w:t>
      </w:r>
      <w:r>
        <w:rPr>
          <w:i/>
          <w:iCs/>
        </w:rPr>
        <w:t>measurement objects on the same serving carrier</w:t>
      </w:r>
      <w:r>
        <w:rPr>
          <w:i/>
          <w:iCs/>
          <w:color w:val="00B050"/>
        </w:rPr>
        <w:t xml:space="preserve"> </w:t>
      </w:r>
      <w:r>
        <w:rPr>
          <w:i/>
          <w:iCs/>
        </w:rPr>
        <w:t>which can be merged. and RSSI symbols are indicated by SS-RSSI-Measurement</w:t>
      </w:r>
      <w:r>
        <w:rPr>
          <w:rFonts w:hint="eastAsia"/>
          <w:i/>
          <w:iCs/>
          <w:lang w:val="en-US" w:eastAsia="zh-CN"/>
        </w:rPr>
        <w:t>, or</w:t>
      </w:r>
      <w:r>
        <w:rPr>
          <w:i/>
          <w:iCs/>
        </w:rPr>
        <w:t>;</w:t>
      </w:r>
    </w:p>
    <w:p>
      <w:pPr>
        <w:pStyle w:val="68"/>
        <w:numPr>
          <w:ilvl w:val="0"/>
          <w:numId w:val="0"/>
        </w:numPr>
        <w:ind w:left="1135" w:leftChars="0"/>
        <w:rPr>
          <w:i/>
          <w:iCs/>
        </w:rPr>
      </w:pPr>
      <w:r>
        <w:rPr>
          <w:i/>
          <w:iCs/>
        </w:rPr>
        <w:t>-</w:t>
      </w:r>
      <w:r>
        <w:rPr>
          <w:i/>
          <w:iCs/>
        </w:rPr>
        <w:tab/>
      </w:r>
      <w:r>
        <w:rPr>
          <w:i/>
          <w:iCs/>
        </w:rPr>
        <w:t xml:space="preserve">if all of the reference signal configured for RLM, BFD, CBD or L1-RSRP for beam reporting </w:t>
      </w:r>
      <w:r>
        <w:rPr>
          <w:rFonts w:hint="eastAsia"/>
          <w:i/>
          <w:iCs/>
          <w:highlight w:val="yellow"/>
          <w:lang w:val="en-US" w:eastAsia="zh-CN"/>
        </w:rPr>
        <w:t xml:space="preserve">on any serving frequency in different band </w:t>
      </w:r>
      <w:r>
        <w:rPr>
          <w:i/>
          <w:iCs/>
        </w:rPr>
        <w:t xml:space="preserve">outside measurement gap and fully-overlapped by intra-frequency SMTC occasions are not overlapped with any of the SSB symbols and the RSSI symbols, and </w:t>
      </w:r>
      <w:r>
        <w:rPr>
          <w:rFonts w:hint="eastAsia"/>
          <w:i/>
          <w:iCs/>
          <w:highlight w:val="yellow"/>
          <w:lang w:val="en-US" w:eastAsia="zh-CN"/>
        </w:rPr>
        <w:t>2</w:t>
      </w:r>
      <w:r>
        <w:rPr>
          <w:i/>
          <w:iCs/>
        </w:rPr>
        <w:t xml:space="preserve"> symbol</w:t>
      </w:r>
      <w:r>
        <w:rPr>
          <w:rFonts w:hint="eastAsia"/>
          <w:i/>
          <w:iCs/>
          <w:highlight w:val="yellow"/>
          <w:lang w:val="en-US" w:eastAsia="zh-CN"/>
        </w:rPr>
        <w:t>s</w:t>
      </w:r>
      <w:r>
        <w:rPr>
          <w:i/>
          <w:iCs/>
        </w:rPr>
        <w:t xml:space="preserve"> before each consecutive SSB symbols and the RSSI symbols, and </w:t>
      </w:r>
      <w:r>
        <w:rPr>
          <w:rFonts w:hint="eastAsia"/>
          <w:i/>
          <w:iCs/>
          <w:highlight w:val="yellow"/>
          <w:lang w:val="en-US" w:eastAsia="zh-CN"/>
        </w:rPr>
        <w:t>2</w:t>
      </w:r>
      <w:r>
        <w:rPr>
          <w:i/>
          <w:iCs/>
        </w:rPr>
        <w:t xml:space="preserve"> symbol</w:t>
      </w:r>
      <w:r>
        <w:rPr>
          <w:rFonts w:hint="eastAsia"/>
          <w:i/>
          <w:iCs/>
          <w:highlight w:val="yellow"/>
          <w:lang w:val="en-US" w:eastAsia="zh-CN"/>
        </w:rPr>
        <w:t>s</w:t>
      </w:r>
      <w:r>
        <w:rPr>
          <w:i/>
          <w:iCs/>
        </w:rPr>
        <w:t xml:space="preserve"> after each consecutive SSB symbols and the RSSI symbols, given that SSB-ToMeasure and SS-RSSI-Measurement are configured</w:t>
      </w:r>
      <w:r>
        <w:rPr>
          <w:rFonts w:hint="eastAsia"/>
          <w:i/>
          <w:iCs/>
          <w:lang w:val="en-US" w:eastAsia="zh-CN"/>
        </w:rPr>
        <w:t xml:space="preserve"> </w:t>
      </w:r>
      <w:r>
        <w:rPr>
          <w:rFonts w:hint="eastAsia"/>
          <w:i/>
          <w:iCs/>
          <w:highlight w:val="yellow"/>
          <w:lang w:val="en-US" w:eastAsia="zh-CN"/>
        </w:rPr>
        <w:t>and the UE is capable of [common Rx beam between PCC band and SCC band]</w:t>
      </w:r>
      <w:r>
        <w:rPr>
          <w:i/>
          <w:iCs/>
        </w:rPr>
        <w:t>, where SSB symbols are indicated by the union</w:t>
      </w:r>
      <w:r>
        <w:rPr>
          <w:i/>
          <w:iCs/>
          <w:color w:val="00B050"/>
        </w:rPr>
        <w:t xml:space="preserve"> </w:t>
      </w:r>
      <w:r>
        <w:rPr>
          <w:i/>
          <w:iCs/>
        </w:rPr>
        <w:t>set of SSB-ToMeasure from all the configured</w:t>
      </w:r>
      <w:r>
        <w:rPr>
          <w:i/>
          <w:iCs/>
          <w:color w:val="00B050"/>
        </w:rPr>
        <w:t xml:space="preserve"> </w:t>
      </w:r>
      <w:r>
        <w:rPr>
          <w:i/>
          <w:iCs/>
        </w:rPr>
        <w:t>measurement objects on the same serving carrier</w:t>
      </w:r>
      <w:r>
        <w:rPr>
          <w:i/>
          <w:iCs/>
          <w:color w:val="00B050"/>
        </w:rPr>
        <w:t xml:space="preserve"> </w:t>
      </w:r>
      <w:r>
        <w:rPr>
          <w:i/>
          <w:iCs/>
        </w:rPr>
        <w:t>which can be merged. and RSSI symbols are indicated by SS-RSSI-Measurement</w:t>
      </w:r>
      <w:r>
        <w:rPr>
          <w:rFonts w:hint="eastAsia"/>
          <w:i/>
          <w:iCs/>
          <w:lang w:val="en-US" w:eastAsia="zh-CN"/>
        </w:rPr>
        <w:t>, or</w:t>
      </w:r>
      <w:r>
        <w:rPr>
          <w:i/>
          <w:iCs/>
        </w:rPr>
        <w:t>;</w:t>
      </w:r>
    </w:p>
    <w:p>
      <w:pPr>
        <w:pStyle w:val="68"/>
        <w:numPr>
          <w:ilvl w:val="0"/>
          <w:numId w:val="0"/>
        </w:numPr>
        <w:ind w:left="1135" w:leftChars="0"/>
        <w:rPr>
          <w:rFonts w:hint="default"/>
          <w:i/>
          <w:iCs/>
          <w:lang w:val="en-US" w:eastAsia="zh-CN"/>
        </w:rPr>
      </w:pPr>
      <w:r>
        <w:rPr>
          <w:i/>
          <w:iCs/>
          <w:lang w:val="en-US" w:eastAsia="zh-CN"/>
        </w:rPr>
        <w:t xml:space="preserve">- if </w:t>
      </w:r>
      <w:r>
        <w:rPr>
          <w:rFonts w:hint="eastAsia"/>
          <w:i/>
          <w:iCs/>
          <w:lang w:val="en-US" w:eastAsia="zh-CN"/>
        </w:rPr>
        <w:t xml:space="preserve">all of the reference signals configured for RLM, BFD, CBD or L1-RSRP for beam reporting </w:t>
      </w:r>
      <w:r>
        <w:rPr>
          <w:rFonts w:hint="eastAsia"/>
          <w:i/>
          <w:iCs/>
          <w:highlight w:val="yellow"/>
          <w:lang w:val="en-US" w:eastAsia="zh-CN"/>
        </w:rPr>
        <w:t xml:space="preserve">are on any serving frequency in different band </w:t>
      </w:r>
      <w:r>
        <w:rPr>
          <w:rFonts w:hint="eastAsia"/>
          <w:i/>
          <w:iCs/>
          <w:lang w:val="en-US" w:eastAsia="zh-CN"/>
        </w:rPr>
        <w:t xml:space="preserve">outside measurement gap </w:t>
      </w:r>
      <w:r>
        <w:rPr>
          <w:i/>
          <w:iCs/>
          <w:highlight w:val="yellow"/>
        </w:rPr>
        <w:t xml:space="preserve">and UE </w:t>
      </w:r>
      <w:r>
        <w:rPr>
          <w:rFonts w:hint="eastAsia"/>
          <w:i/>
          <w:iCs/>
          <w:highlight w:val="yellow"/>
          <w:lang w:val="en-US" w:eastAsia="zh-CN"/>
        </w:rPr>
        <w:t>is not capable of</w:t>
      </w:r>
      <w:r>
        <w:rPr>
          <w:i/>
          <w:iCs/>
          <w:highlight w:val="yellow"/>
        </w:rPr>
        <w:t xml:space="preserve"> </w:t>
      </w:r>
      <w:r>
        <w:rPr>
          <w:i/>
          <w:iCs/>
          <w:highlight w:val="yellow"/>
          <w:lang w:val="en-US" w:eastAsia="zh-CN"/>
        </w:rPr>
        <w:t>[</w:t>
      </w:r>
      <w:r>
        <w:rPr>
          <w:rFonts w:hint="eastAsia"/>
          <w:i/>
          <w:iCs/>
          <w:highlight w:val="yellow"/>
          <w:lang w:val="en-US" w:eastAsia="zh-CN"/>
        </w:rPr>
        <w:t>common Rx beam between PCC band and SCC band</w:t>
      </w:r>
      <w:r>
        <w:rPr>
          <w:i/>
          <w:iCs/>
          <w:lang w:val="en-US" w:eastAsia="zh-CN"/>
        </w:rPr>
        <w:t>]</w:t>
      </w:r>
      <w:r>
        <w:rPr>
          <w:rFonts w:hint="eastAsia"/>
          <w:i/>
          <w:iCs/>
          <w:lang w:val="en-US" w:eastAsia="zh-CN"/>
        </w:rPr>
        <w:t>.</w:t>
      </w:r>
    </w:p>
    <w:p>
      <w:pPr>
        <w:pStyle w:val="12"/>
        <w:bidi w:val="0"/>
        <w:rPr>
          <w:rFonts w:hint="default"/>
          <w:b/>
          <w:bCs/>
          <w:i/>
          <w:iCs/>
          <w:lang w:val="en-US" w:eastAsia="zh-CN"/>
        </w:rPr>
      </w:pPr>
      <w:r>
        <w:rPr>
          <w:rFonts w:hint="eastAsia"/>
          <w:i/>
          <w:iCs/>
          <w:lang w:eastAsia="zh-CN"/>
        </w:rPr>
        <w:t>Otherwise</w:t>
      </w:r>
      <w:r>
        <w:rPr>
          <w:i/>
          <w:iCs/>
          <w:lang w:eastAsia="zh-CN"/>
        </w:rPr>
        <w:t xml:space="preserve">, </w:t>
      </w:r>
      <w:r>
        <w:rPr>
          <w:i/>
          <w:iCs/>
        </w:rPr>
        <w:t>K</w:t>
      </w:r>
      <w:r>
        <w:rPr>
          <w:i/>
          <w:iCs/>
          <w:vertAlign w:val="subscript"/>
        </w:rPr>
        <w:t>layer1_measurement</w:t>
      </w:r>
      <w:r>
        <w:rPr>
          <w:i/>
          <w:iCs/>
        </w:rPr>
        <w:t>=1</w:t>
      </w:r>
      <w:r>
        <w:rPr>
          <w:rFonts w:hint="eastAsia" w:eastAsia="宋体"/>
          <w:i/>
          <w:iCs/>
          <w:lang w:val="en-US" w:eastAsia="zh-CN"/>
        </w:rPr>
        <w:t>.5</w:t>
      </w:r>
      <w:r>
        <w:rPr>
          <w:i/>
          <w:iCs/>
        </w:rPr>
        <w:t>.</w:t>
      </w:r>
    </w:p>
    <w:p>
      <w:pPr>
        <w:pStyle w:val="3"/>
        <w:numPr>
          <w:ilvl w:val="0"/>
          <w:numId w:val="0"/>
        </w:numPr>
        <w:bidi w:val="0"/>
        <w:ind w:leftChars="0"/>
        <w:rPr>
          <w:rFonts w:hint="eastAsia" w:cs="Arial"/>
          <w:b w:val="0"/>
          <w:bCs w:val="0"/>
          <w:u w:val="single"/>
          <w:lang w:val="en-US" w:eastAsia="zh-CN"/>
        </w:rPr>
      </w:pPr>
      <w:r>
        <w:rPr>
          <w:rFonts w:hint="eastAsia"/>
          <w:lang w:val="en-US" w:eastAsia="zh-CN"/>
        </w:rPr>
        <w:t>2.3 Signalling characteristics</w:t>
      </w:r>
    </w:p>
    <w:p>
      <w:pPr>
        <w:pStyle w:val="12"/>
        <w:bidi w:val="0"/>
        <w:rPr>
          <w:rFonts w:hint="default" w:cs="Arial"/>
          <w:b w:val="0"/>
          <w:bCs w:val="0"/>
          <w:u w:val="single"/>
          <w:lang w:val="en-US" w:eastAsia="zh-CN"/>
        </w:rPr>
      </w:pPr>
      <w:r>
        <w:rPr>
          <w:rFonts w:hint="eastAsia" w:cs="Arial"/>
          <w:b w:val="0"/>
          <w:bCs w:val="0"/>
          <w:u w:val="single"/>
          <w:lang w:val="en-US" w:eastAsia="zh-CN"/>
        </w:rPr>
        <w:t>Interruption impact from UE antenna types</w:t>
      </w:r>
    </w:p>
    <w:p>
      <w:pPr>
        <w:pStyle w:val="12"/>
        <w:bidi w:val="0"/>
        <w:rPr>
          <w:rFonts w:hint="eastAsia"/>
          <w:b w:val="0"/>
          <w:bCs w:val="0"/>
          <w:lang w:val="en-US" w:eastAsia="zh-CN"/>
        </w:rPr>
      </w:pPr>
      <w:r>
        <w:rPr>
          <w:rFonts w:hint="eastAsia"/>
          <w:lang w:val="en-US" w:eastAsia="zh-CN"/>
        </w:rPr>
        <w:t xml:space="preserve">Under the antenna array assumption, two categories are assumed as common beam assumption and separate beam assumpion. The two categories are similar as the distinguish </w:t>
      </w:r>
      <w:r>
        <w:rPr>
          <w:rFonts w:hint="eastAsia"/>
          <w:b/>
          <w:bCs/>
          <w:lang w:val="en-US" w:eastAsia="zh-CN"/>
        </w:rPr>
        <w:t>UE is capable of IBM in FR2 band pair</w:t>
      </w:r>
      <w:r>
        <w:rPr>
          <w:rFonts w:hint="eastAsia"/>
          <w:lang w:val="en-US" w:eastAsia="zh-CN"/>
        </w:rPr>
        <w:t xml:space="preserve"> and </w:t>
      </w:r>
      <w:r>
        <w:rPr>
          <w:rFonts w:hint="eastAsia"/>
          <w:b/>
          <w:bCs/>
          <w:lang w:val="en-US" w:eastAsia="zh-CN"/>
        </w:rPr>
        <w:t>in same FR2 band</w:t>
      </w:r>
      <w:r>
        <w:rPr>
          <w:rFonts w:hint="eastAsia"/>
          <w:lang w:val="en-US" w:eastAsia="zh-CN"/>
        </w:rPr>
        <w:t xml:space="preserve"> in legacy. It can be noted that in multiple interruptions, the interruption length for the case of </w:t>
      </w:r>
      <w:r>
        <w:rPr>
          <w:rFonts w:hint="eastAsia"/>
          <w:b/>
          <w:bCs/>
          <w:lang w:val="en-US" w:eastAsia="zh-CN"/>
        </w:rPr>
        <w:t xml:space="preserve">UE is capable of IBM in FR2 band pair </w:t>
      </w:r>
      <w:r>
        <w:rPr>
          <w:rFonts w:hint="eastAsia"/>
          <w:lang w:val="en-US" w:eastAsia="zh-CN"/>
        </w:rPr>
        <w:t xml:space="preserve">and the case of </w:t>
      </w:r>
      <w:r>
        <w:rPr>
          <w:rFonts w:hint="eastAsia"/>
          <w:b/>
          <w:bCs/>
          <w:lang w:val="en-US" w:eastAsia="zh-CN"/>
        </w:rPr>
        <w:t xml:space="preserve">in same FR2 band </w:t>
      </w:r>
      <w:r>
        <w:rPr>
          <w:rFonts w:hint="eastAsia"/>
          <w:lang w:val="en-US" w:eastAsia="zh-CN"/>
        </w:rPr>
        <w:t xml:space="preserve">are different. So similar logic could be applied here, i.e. distinguish the interruption requirements between the common beam assumption case and separate beam assumption case. In details, the interruption at SCell addition/release, all types of </w:t>
      </w:r>
      <w:r>
        <w:rPr>
          <w:rFonts w:hint="eastAsia"/>
          <w:strike w:val="0"/>
          <w:dstrike w:val="0"/>
          <w:lang w:val="en-US" w:eastAsia="zh-CN"/>
        </w:rPr>
        <w:t xml:space="preserve">SCell activation/deactivation should be distinguished between the </w:t>
      </w:r>
      <w:r>
        <w:rPr>
          <w:rFonts w:hint="eastAsia"/>
          <w:lang w:val="en-US" w:eastAsia="zh-CN"/>
        </w:rPr>
        <w:t xml:space="preserve">case of </w:t>
      </w:r>
      <w:r>
        <w:rPr>
          <w:rFonts w:hint="eastAsia"/>
          <w:b/>
          <w:bCs/>
          <w:lang w:val="en-US" w:eastAsia="zh-CN"/>
        </w:rPr>
        <w:t xml:space="preserve">UE is capable of IBM in FR2 band pair </w:t>
      </w:r>
      <w:r>
        <w:rPr>
          <w:rFonts w:hint="eastAsia"/>
          <w:lang w:val="en-US" w:eastAsia="zh-CN"/>
        </w:rPr>
        <w:t xml:space="preserve">and the case of </w:t>
      </w:r>
      <w:r>
        <w:rPr>
          <w:rFonts w:hint="eastAsia"/>
          <w:b/>
          <w:bCs/>
          <w:lang w:val="en-US" w:eastAsia="zh-CN"/>
        </w:rPr>
        <w:t>in same FR2 band</w:t>
      </w:r>
      <w:r>
        <w:rPr>
          <w:rFonts w:hint="eastAsia"/>
          <w:b w:val="0"/>
          <w:bCs w:val="0"/>
          <w:lang w:val="en-US" w:eastAsia="zh-CN"/>
        </w:rPr>
        <w:t>. For other types of interruption, no need to distinguish the two types of cases.</w:t>
      </w:r>
    </w:p>
    <w:p>
      <w:pPr>
        <w:pStyle w:val="12"/>
        <w:bidi w:val="0"/>
        <w:rPr>
          <w:rFonts w:hint="eastAsia"/>
          <w:b/>
          <w:bCs/>
          <w:lang w:val="en-US" w:eastAsia="zh-CN"/>
        </w:rPr>
      </w:pPr>
      <w:r>
        <w:rPr>
          <w:rFonts w:hint="eastAsia"/>
          <w:b/>
          <w:bCs/>
          <w:lang w:val="en-US" w:eastAsia="zh-CN"/>
        </w:rPr>
        <w:t>Proposal 6: UE antenna types have impact on some types of interruption requirements. Classify the UE antenna types into two categories:</w:t>
      </w:r>
    </w:p>
    <w:p>
      <w:pPr>
        <w:pStyle w:val="12"/>
        <w:numPr>
          <w:ilvl w:val="0"/>
          <w:numId w:val="7"/>
        </w:numPr>
        <w:bidi w:val="0"/>
        <w:ind w:left="420" w:leftChars="0" w:hanging="420" w:firstLineChars="0"/>
        <w:rPr>
          <w:rFonts w:hint="default"/>
          <w:b/>
          <w:bCs/>
          <w:lang w:val="en-US" w:eastAsia="zh-CN"/>
        </w:rPr>
      </w:pPr>
      <w:r>
        <w:rPr>
          <w:rFonts w:hint="eastAsia"/>
          <w:b/>
          <w:bCs/>
          <w:lang w:val="en-US" w:eastAsia="zh-CN"/>
        </w:rPr>
        <w:t>Category 1: antenna array assumption in intra-band CA and Case 4 in inter-band CA</w:t>
      </w:r>
    </w:p>
    <w:p>
      <w:pPr>
        <w:pStyle w:val="12"/>
        <w:numPr>
          <w:ilvl w:val="0"/>
          <w:numId w:val="7"/>
        </w:numPr>
        <w:bidi w:val="0"/>
        <w:ind w:left="420" w:leftChars="0" w:hanging="420" w:firstLineChars="0"/>
        <w:rPr>
          <w:rFonts w:hint="default"/>
          <w:b/>
          <w:bCs/>
          <w:lang w:val="en-US" w:eastAsia="zh-CN"/>
        </w:rPr>
      </w:pPr>
      <w:r>
        <w:rPr>
          <w:rFonts w:hint="eastAsia"/>
          <w:b/>
          <w:bCs/>
          <w:lang w:val="en-US" w:eastAsia="zh-CN"/>
        </w:rPr>
        <w:t>Category 2: other cases</w:t>
      </w:r>
    </w:p>
    <w:p>
      <w:pPr>
        <w:pStyle w:val="12"/>
        <w:bidi w:val="0"/>
        <w:rPr>
          <w:rFonts w:hint="eastAsia"/>
          <w:b/>
          <w:bCs/>
          <w:lang w:val="en-US" w:eastAsia="zh-CN"/>
        </w:rPr>
      </w:pPr>
      <w:r>
        <w:rPr>
          <w:rFonts w:hint="eastAsia"/>
          <w:b/>
          <w:bCs/>
          <w:lang w:val="en-US" w:eastAsia="zh-CN"/>
        </w:rPr>
        <w:t>Proposal 7: For the interruptions caused by SCell addition/release and any types of SCell activation/deactivation, distinguish the interruption requirements for Category 1 and 2.</w:t>
      </w:r>
    </w:p>
    <w:p>
      <w:pPr>
        <w:pStyle w:val="12"/>
        <w:bidi w:val="0"/>
        <w:rPr>
          <w:rFonts w:hint="default"/>
          <w:b w:val="0"/>
          <w:bCs w:val="0"/>
          <w:lang w:val="en-US" w:eastAsia="zh-CN"/>
        </w:rPr>
      </w:pPr>
      <w:r>
        <w:rPr>
          <w:rFonts w:hint="eastAsia"/>
          <w:b/>
          <w:bCs/>
          <w:lang w:val="en-US" w:eastAsia="zh-CN"/>
        </w:rPr>
        <w:t>For other interruptions, define unified interruption requirements for all UE antenna types.</w:t>
      </w:r>
    </w:p>
    <w:p>
      <w:pPr>
        <w:pStyle w:val="12"/>
        <w:bidi w:val="0"/>
        <w:rPr>
          <w:rFonts w:hint="eastAsia" w:cs="Arial"/>
          <w:b w:val="0"/>
          <w:bCs w:val="0"/>
          <w:u w:val="single"/>
          <w:lang w:val="en-US" w:eastAsia="zh-CN"/>
        </w:rPr>
      </w:pPr>
      <w:r>
        <w:rPr>
          <w:rFonts w:hint="eastAsia" w:cs="Arial"/>
          <w:b w:val="0"/>
          <w:bCs w:val="0"/>
          <w:u w:val="single"/>
          <w:lang w:val="en-US" w:eastAsia="zh-CN"/>
        </w:rPr>
        <w:t>SCell Activation and Deactivation Delay</w:t>
      </w:r>
    </w:p>
    <w:p>
      <w:pPr>
        <w:pStyle w:val="12"/>
        <w:numPr>
          <w:ilvl w:val="0"/>
          <w:numId w:val="0"/>
        </w:numPr>
        <w:bidi w:val="0"/>
        <w:ind w:leftChars="0"/>
        <w:rPr>
          <w:rFonts w:hint="eastAsia"/>
          <w:lang w:val="en-US" w:eastAsia="zh-CN"/>
        </w:rPr>
      </w:pPr>
      <w:r>
        <w:rPr>
          <w:rFonts w:hint="eastAsia"/>
          <w:lang w:val="en-US" w:eastAsia="zh-CN"/>
        </w:rPr>
        <w:t xml:space="preserve">The general requirements of SCell activation/deactivation delay have been already concluded in last meeting, i.e. the measurement related components should refer to the ATG Clause. Besides this, SSB-less SCell operation was mentioned in last meeting and was approved to apply in R19 ATG. In the FR1 inter-band SSB-less SCell operation, it is assumed that the AGC/coarse timing info could shared between the reference cell and SSB-less SCell provided some side conditions meet. But no specific beam aspects involved in since the omni-directional antenna is assumed for normal UE in FR1. </w:t>
      </w:r>
    </w:p>
    <w:p>
      <w:pPr>
        <w:pStyle w:val="12"/>
        <w:numPr>
          <w:ilvl w:val="0"/>
          <w:numId w:val="0"/>
        </w:numPr>
        <w:bidi w:val="0"/>
        <w:ind w:leftChars="0"/>
        <w:rPr>
          <w:rFonts w:hint="eastAsia"/>
          <w:lang w:val="en-US" w:eastAsia="zh-CN"/>
        </w:rPr>
      </w:pPr>
      <w:r>
        <w:rPr>
          <w:rFonts w:hint="eastAsia"/>
          <w:lang w:val="en-US" w:eastAsia="zh-CN"/>
        </w:rPr>
        <w:t>However for ATG UE, there are multiple antenna accumption combination for PCC band and SCC band, we could check whether need some additional consideration. It should be noted that the SSB-less SCell based SCell acitvation could only be applied when the following side conditions meet as defined in 8.3.2 of [3]: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1"/>
              <w:numPr>
                <w:ilvl w:val="0"/>
                <w:numId w:val="0"/>
              </w:numPr>
              <w:ind w:leftChars="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68"/>
              <w:numPr>
                <w:ilvl w:val="0"/>
                <w:numId w:val="0"/>
              </w:numPr>
              <w:ind w:left="1135" w:leftChars="0"/>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68"/>
              <w:numPr>
                <w:ilvl w:val="0"/>
                <w:numId w:val="0"/>
              </w:numPr>
              <w:ind w:left="1135" w:leftChars="0"/>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68"/>
              <w:numPr>
                <w:ilvl w:val="0"/>
                <w:numId w:val="0"/>
              </w:numPr>
              <w:ind w:left="1135" w:leftChars="0"/>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61"/>
              <w:numPr>
                <w:ilvl w:val="0"/>
                <w:numId w:val="0"/>
              </w:numPr>
              <w:ind w:leftChars="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61"/>
              <w:numPr>
                <w:ilvl w:val="0"/>
                <w:numId w:val="0"/>
              </w:numPr>
              <w:ind w:leftChars="0"/>
              <w:rPr>
                <w:lang w:eastAsia="zh-CN"/>
              </w:rPr>
            </w:pPr>
            <w:r>
              <w:rPr>
                <w:lang w:eastAsia="zh-CN"/>
              </w:rPr>
              <w:t>T</w:t>
            </w:r>
            <w:r>
              <w:rPr>
                <w:vertAlign w:val="subscript"/>
                <w:lang w:eastAsia="zh-CN"/>
              </w:rPr>
              <w:t>activation_time</w:t>
            </w:r>
            <w:r>
              <w:rPr>
                <w:lang w:eastAsia="zh-CN"/>
              </w:rPr>
              <w:t xml:space="preserve"> is</w:t>
            </w:r>
          </w:p>
          <w:p>
            <w:pPr>
              <w:pStyle w:val="68"/>
              <w:numPr>
                <w:ilvl w:val="0"/>
                <w:numId w:val="0"/>
              </w:numPr>
              <w:ind w:left="1135" w:leftChars="0"/>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68"/>
              <w:numPr>
                <w:ilvl w:val="0"/>
                <w:numId w:val="0"/>
              </w:numPr>
              <w:ind w:left="1135" w:leftChars="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68"/>
              <w:numPr>
                <w:ilvl w:val="0"/>
                <w:numId w:val="0"/>
              </w:numPr>
              <w:ind w:left="1135" w:leftChars="0"/>
              <w:rPr>
                <w:rFonts w:hint="default"/>
                <w:lang w:val="en-US"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tc>
      </w:tr>
    </w:tbl>
    <w:p>
      <w:pPr>
        <w:pStyle w:val="12"/>
        <w:numPr>
          <w:ilvl w:val="0"/>
          <w:numId w:val="0"/>
        </w:numPr>
        <w:bidi w:val="0"/>
        <w:ind w:leftChars="0"/>
        <w:rPr>
          <w:rFonts w:hint="eastAsia"/>
          <w:lang w:val="en-US" w:eastAsia="zh-CN"/>
        </w:rPr>
      </w:pPr>
      <w:r>
        <w:rPr>
          <w:rFonts w:hint="eastAsia"/>
          <w:lang w:val="en-US" w:eastAsia="zh-CN"/>
        </w:rPr>
        <w:t>Actually since the PCell and SCell co-located deployment, UE could always receive the SSB of PCell and TRS of SCell via same Rx beam when the phase antenna array is assumed for SCC band. So no need to introduce additional scaling factor to distinguish PCell and SCell. Regarding the possible neighbour cell measurement during the SSB-less SCell activation, under Case 4 and a common Rx beam assumption even for intra-band case, when UE perform the SCell measurement for the sake of SCell activation, the UE could not perform the neighbour cell measurement at the same time. This restriction exists during both SSB based SCell activation and SSB-less SCell activation. But considering the SSB-less SCell measurement during activation is TRS based instead of SSB based, so it could be assumed that no overlapping SSB configured in neighbour cell MO is to be measurement meanwhile, So the existing inter-band SSB-less SCell activation requirements could be reused for ATG.</w:t>
      </w:r>
    </w:p>
    <w:p>
      <w:pPr>
        <w:pStyle w:val="12"/>
        <w:numPr>
          <w:ilvl w:val="0"/>
          <w:numId w:val="0"/>
        </w:numPr>
        <w:bidi w:val="0"/>
        <w:ind w:leftChars="0"/>
        <w:rPr>
          <w:rFonts w:hint="default"/>
          <w:lang w:val="en-US" w:eastAsia="zh-CN"/>
        </w:rPr>
      </w:pPr>
      <w:r>
        <w:rPr>
          <w:rFonts w:hint="eastAsia"/>
          <w:lang w:val="en-US" w:eastAsia="zh-CN"/>
        </w:rPr>
        <w:t>For the SSB based SCell activation, as we analysized above, the restriction between the SCell measurement for the sake of SCell activation and the neighbour cell measurement can not be performed simultaneously under Case 4, so beam sweeping factor is needed.</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8: During both SSB based SCell activation and SSB-less SCell activation, under a common Rx beam assumption for intra-band or inter-band CA, </w:t>
      </w:r>
    </w:p>
    <w:p>
      <w:pPr>
        <w:pStyle w:val="12"/>
        <w:keepNext w:val="0"/>
        <w:keepLines w:val="0"/>
        <w:pageBreakBefore w:val="0"/>
        <w:widowControl/>
        <w:numPr>
          <w:ilvl w:val="0"/>
          <w:numId w:val="8"/>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perform both PCell and SCell measurement at a meanwhile;</w:t>
      </w:r>
    </w:p>
    <w:p>
      <w:pPr>
        <w:pStyle w:val="12"/>
        <w:keepNext w:val="0"/>
        <w:keepLines w:val="0"/>
        <w:pageBreakBefore w:val="0"/>
        <w:widowControl/>
        <w:numPr>
          <w:ilvl w:val="0"/>
          <w:numId w:val="8"/>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NOT perform SCell measurement and neighbour cell measurement simultaneously.</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The agreements achieved in last meeting about SSB based and SSB-less SCell activation is enough, no need other update.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2"/>
        <w:numPr>
          <w:ilvl w:val="0"/>
          <w:numId w:val="0"/>
        </w:numPr>
        <w:bidi w:val="0"/>
        <w:ind w:leftChars="0"/>
        <w:rPr>
          <w:rFonts w:hint="eastAsia"/>
          <w:b/>
          <w:bCs/>
          <w:lang w:val="en-US" w:eastAsia="zh-CN"/>
        </w:rPr>
      </w:pPr>
      <w:r>
        <w:rPr>
          <w:rFonts w:hint="eastAsia"/>
          <w:b/>
          <w:bCs/>
          <w:lang w:val="en-US" w:eastAsia="zh-CN"/>
        </w:rPr>
        <w:t xml:space="preserve">Proposal 1: To differentiate Case 4 and Case 5, the additional UE capability to distinguish common or separate Rx beam is assumed with per BC type for the bands in which UE supporting phase antenna array. </w:t>
      </w:r>
    </w:p>
    <w:p>
      <w:pPr>
        <w:pStyle w:val="12"/>
        <w:numPr>
          <w:ilvl w:val="0"/>
          <w:numId w:val="0"/>
        </w:numPr>
        <w:bidi w:val="0"/>
        <w:ind w:leftChars="0"/>
        <w:rPr>
          <w:rFonts w:hint="eastAsia"/>
          <w:b/>
          <w:bCs/>
          <w:lang w:val="en-US" w:eastAsia="zh-CN"/>
        </w:rPr>
      </w:pPr>
      <w:r>
        <w:rPr>
          <w:rFonts w:hint="eastAsia"/>
          <w:b/>
          <w:bCs/>
          <w:lang w:val="en-US" w:eastAsia="zh-CN"/>
        </w:rPr>
        <w:t>Proposal 2: RAN4 needs to discuss whether an MO in the 3</w:t>
      </w:r>
      <w:r>
        <w:rPr>
          <w:rFonts w:hint="eastAsia"/>
          <w:b/>
          <w:bCs/>
          <w:vertAlign w:val="superscript"/>
          <w:lang w:val="en-US" w:eastAsia="zh-CN"/>
        </w:rPr>
        <w:t>rd</w:t>
      </w:r>
      <w:r>
        <w:rPr>
          <w:rFonts w:hint="eastAsia"/>
          <w:b/>
          <w:bCs/>
          <w:lang w:val="en-US" w:eastAsia="zh-CN"/>
        </w:rPr>
        <w:t xml:space="preserve"> band besides the PCC band and SCC band is allowed for the two sub-cases. If the answer is yes, then UE has to report the new UE capability for the band combinations of {PCC band, SCC band}, {PCC band, 3</w:t>
      </w:r>
      <w:r>
        <w:rPr>
          <w:rFonts w:hint="eastAsia"/>
          <w:b/>
          <w:bCs/>
          <w:vertAlign w:val="superscript"/>
          <w:lang w:val="en-US" w:eastAsia="zh-CN"/>
        </w:rPr>
        <w:t>rd</w:t>
      </w:r>
      <w:r>
        <w:rPr>
          <w:rFonts w:hint="eastAsia"/>
          <w:b/>
          <w:bCs/>
          <w:lang w:val="en-US" w:eastAsia="zh-CN"/>
        </w:rPr>
        <w:t xml:space="preserve"> band} and {SCC band, 3</w:t>
      </w:r>
      <w:r>
        <w:rPr>
          <w:rFonts w:hint="eastAsia"/>
          <w:b/>
          <w:bCs/>
          <w:vertAlign w:val="superscript"/>
          <w:lang w:val="en-US" w:eastAsia="zh-CN"/>
        </w:rPr>
        <w:t>rd</w:t>
      </w:r>
      <w:r>
        <w:rPr>
          <w:rFonts w:hint="eastAsia"/>
          <w:b/>
          <w:bCs/>
          <w:lang w:val="en-US" w:eastAsia="zh-CN"/>
        </w:rPr>
        <w:t xml:space="preserve"> band}. </w:t>
      </w:r>
    </w:p>
    <w:p>
      <w:pPr>
        <w:pStyle w:val="12"/>
        <w:numPr>
          <w:ilvl w:val="0"/>
          <w:numId w:val="6"/>
        </w:numPr>
        <w:bidi w:val="0"/>
        <w:ind w:left="420" w:leftChars="0" w:hanging="420" w:firstLineChars="0"/>
        <w:rPr>
          <w:rFonts w:hint="eastAsia"/>
          <w:b/>
          <w:bCs/>
          <w:lang w:val="en-US" w:eastAsia="zh-CN"/>
        </w:rPr>
      </w:pPr>
      <w:r>
        <w:rPr>
          <w:rFonts w:hint="eastAsia"/>
          <w:b/>
          <w:bCs/>
          <w:lang w:val="en-US" w:eastAsia="zh-CN"/>
        </w:rPr>
        <w:t>Sub-case 1: the 3</w:t>
      </w:r>
      <w:r>
        <w:rPr>
          <w:rFonts w:hint="eastAsia"/>
          <w:b/>
          <w:bCs/>
          <w:vertAlign w:val="superscript"/>
          <w:lang w:val="en-US" w:eastAsia="zh-CN"/>
        </w:rPr>
        <w:t>rd</w:t>
      </w:r>
      <w:r>
        <w:rPr>
          <w:rFonts w:hint="eastAsia"/>
          <w:b/>
          <w:bCs/>
          <w:lang w:val="en-US" w:eastAsia="zh-CN"/>
        </w:rPr>
        <w:t xml:space="preserve"> band is within the supported band combination</w:t>
      </w:r>
    </w:p>
    <w:p>
      <w:pPr>
        <w:pStyle w:val="12"/>
        <w:numPr>
          <w:ilvl w:val="0"/>
          <w:numId w:val="6"/>
        </w:numPr>
        <w:bidi w:val="0"/>
        <w:ind w:left="420" w:leftChars="0" w:hanging="420" w:firstLineChars="0"/>
        <w:rPr>
          <w:rFonts w:hint="eastAsia"/>
          <w:b/>
          <w:bCs/>
          <w:lang w:val="en-US" w:eastAsia="zh-CN"/>
        </w:rPr>
      </w:pPr>
      <w:r>
        <w:rPr>
          <w:rFonts w:hint="eastAsia"/>
          <w:b/>
          <w:bCs/>
          <w:lang w:val="en-US" w:eastAsia="zh-CN"/>
        </w:rPr>
        <w:t>Sub-case 2: the 3</w:t>
      </w:r>
      <w:r>
        <w:rPr>
          <w:rFonts w:hint="eastAsia"/>
          <w:b/>
          <w:bCs/>
          <w:vertAlign w:val="superscript"/>
          <w:lang w:val="en-US" w:eastAsia="zh-CN"/>
        </w:rPr>
        <w:t>rd</w:t>
      </w:r>
      <w:r>
        <w:rPr>
          <w:rFonts w:hint="eastAsia"/>
          <w:b/>
          <w:bCs/>
          <w:lang w:val="en-US" w:eastAsia="zh-CN"/>
        </w:rPr>
        <w:t xml:space="preserve"> band is not within any supported band combination</w:t>
      </w:r>
    </w:p>
    <w:p>
      <w:pPr>
        <w:pStyle w:val="12"/>
        <w:numPr>
          <w:ilvl w:val="0"/>
          <w:numId w:val="0"/>
        </w:numPr>
        <w:bidi w:val="0"/>
        <w:ind w:leftChars="200"/>
        <w:rPr>
          <w:rFonts w:hint="default"/>
          <w:b/>
          <w:bCs/>
          <w:lang w:val="en-US" w:eastAsia="zh-CN"/>
        </w:rPr>
      </w:pPr>
      <w:r>
        <w:rPr>
          <w:rFonts w:hint="eastAsia"/>
          <w:b/>
          <w:bCs/>
          <w:lang w:val="en-US" w:eastAsia="zh-CN"/>
        </w:rPr>
        <w:t>At least Sub-base 1 is allowed preferred by us.</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eastAsia" w:cs="Times New Roman"/>
          <w:b/>
          <w:bCs/>
          <w:lang w:val="en-US" w:eastAsia="zh-CN"/>
        </w:rPr>
      </w:pPr>
      <w:r>
        <w:rPr>
          <w:rFonts w:hint="eastAsia"/>
          <w:b/>
          <w:bCs/>
          <w:lang w:val="en-US" w:eastAsia="zh-CN"/>
        </w:rPr>
        <w:t xml:space="preserve">Proposal 3: </w:t>
      </w:r>
      <w:r>
        <w:rPr>
          <w:rFonts w:hint="default" w:cs="Times New Roman"/>
          <w:b/>
          <w:bCs/>
          <w:lang w:val="en-US" w:eastAsia="zh-CN"/>
        </w:rPr>
        <w:t>The UE indicating support of this feature shall also indicate support of antennaArrayType-r18 on each band of the supported Band combination</w:t>
      </w:r>
      <w:r>
        <w:rPr>
          <w:rFonts w:hint="eastAsia" w:cs="Times New Roman"/>
          <w:b/>
          <w:bCs/>
          <w:lang w:val="en-US" w:eastAsia="zh-CN"/>
        </w:rPr>
        <w:t xml:space="preserve">.    </w:t>
      </w:r>
    </w:p>
    <w:p>
      <w:pPr>
        <w:pStyle w:val="12"/>
        <w:bidi w:val="0"/>
        <w:rPr>
          <w:rFonts w:hint="eastAsia"/>
          <w:b/>
          <w:bCs/>
          <w:lang w:val="en-US" w:eastAsia="zh-CN"/>
        </w:rPr>
      </w:pPr>
      <w:r>
        <w:rPr>
          <w:rFonts w:hint="eastAsia"/>
          <w:b/>
          <w:bCs/>
          <w:lang w:val="en-US" w:eastAsia="zh-CN"/>
        </w:rPr>
        <w:t>Proposal 4: Consider impact on K</w:t>
      </w:r>
      <w:r>
        <w:rPr>
          <w:rFonts w:hint="eastAsia"/>
          <w:b/>
          <w:bCs/>
          <w:sz w:val="13"/>
          <w:szCs w:val="13"/>
          <w:lang w:val="en-US" w:eastAsia="zh-CN"/>
        </w:rPr>
        <w:t>layer1_measurement</w:t>
      </w:r>
      <w:r>
        <w:rPr>
          <w:rFonts w:hint="eastAsia"/>
          <w:b/>
          <w:bCs/>
          <w:lang w:val="en-US" w:eastAsia="zh-CN"/>
        </w:rPr>
        <w:t xml:space="preserve"> due to 33usec MRTD for Case 4 antenna type, e.g., </w:t>
      </w:r>
    </w:p>
    <w:p>
      <w:pPr>
        <w:pStyle w:val="12"/>
        <w:bidi w:val="0"/>
        <w:ind w:leftChars="200"/>
        <w:rPr>
          <w:rFonts w:hint="eastAsia"/>
          <w:b/>
          <w:bCs/>
          <w:lang w:val="en-US" w:eastAsia="zh-CN"/>
        </w:rPr>
      </w:pPr>
      <w:r>
        <w:rPr>
          <w:rFonts w:hint="eastAsia"/>
          <w:b/>
          <w:bCs/>
          <w:lang w:val="en-US" w:eastAsia="zh-CN"/>
        </w:rPr>
        <w:t>if all of the reference signal configured for RLM, BFD, CBD or L1-RSRP for beam reporting outside measurement gap and fully-overlapped by intra-frequency SMTC occasions are not overlapped with any of the SSB symbols and the RSSI symbols, and 2 symbol before each consecutive SSB symbols and the RSSI symbols, and 2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pPr>
        <w:pStyle w:val="12"/>
        <w:bidi w:val="0"/>
        <w:rPr>
          <w:rFonts w:hint="eastAsia"/>
          <w:b/>
          <w:bCs/>
          <w:lang w:val="en-US" w:eastAsia="zh-CN"/>
        </w:rPr>
      </w:pPr>
      <w:r>
        <w:rPr>
          <w:rFonts w:hint="eastAsia"/>
          <w:b/>
          <w:bCs/>
          <w:lang w:val="en-US" w:eastAsia="zh-CN"/>
        </w:rPr>
        <w:t xml:space="preserve">Proposal 5: Construct the </w:t>
      </w:r>
      <w:r>
        <w:t>K</w:t>
      </w:r>
      <w:r>
        <w:rPr>
          <w:vertAlign w:val="subscript"/>
        </w:rPr>
        <w:t>layer1_measurement</w:t>
      </w:r>
      <w:r>
        <w:rPr>
          <w:rFonts w:hint="eastAsia"/>
          <w:b/>
          <w:bCs/>
          <w:lang w:val="en-US" w:eastAsia="zh-CN"/>
        </w:rPr>
        <w:t xml:space="preserve"> for intra-frequency and inter-frequency L3 measurement as below(we highlighted the key points and companies could further check):</w:t>
      </w:r>
    </w:p>
    <w:p>
      <w:pPr>
        <w:rPr>
          <w:i/>
          <w:iCs/>
          <w:lang w:eastAsia="zh-CN"/>
        </w:rPr>
      </w:pPr>
      <w:r>
        <w:rPr>
          <w:i/>
          <w:iCs/>
          <w:lang w:eastAsia="zh-CN"/>
        </w:rPr>
        <w:t xml:space="preserve">For UE </w:t>
      </w:r>
      <w:r>
        <w:rPr>
          <w:rFonts w:hint="eastAsia"/>
          <w:i/>
          <w:iCs/>
          <w:lang w:val="en-US" w:eastAsia="zh-CN"/>
        </w:rPr>
        <w:t>capable of [</w:t>
      </w:r>
      <w:r>
        <w:rPr>
          <w:i/>
          <w:iCs/>
        </w:rPr>
        <w:t>antennaArrayType-r1</w:t>
      </w:r>
      <w:r>
        <w:rPr>
          <w:rFonts w:hint="eastAsia" w:eastAsia="宋体"/>
          <w:i/>
          <w:iCs/>
          <w:lang w:val="en-US" w:eastAsia="zh-CN"/>
        </w:rPr>
        <w:t>8] and [</w:t>
      </w:r>
      <w:r>
        <w:rPr>
          <w:i/>
          <w:iCs/>
        </w:rPr>
        <w:t>intra-band</w:t>
      </w:r>
      <w:r>
        <w:rPr>
          <w:rFonts w:hint="eastAsia" w:eastAsia="宋体"/>
          <w:i/>
          <w:iCs/>
          <w:lang w:val="en-US" w:eastAsia="zh-CN"/>
        </w:rPr>
        <w:t xml:space="preserve"> or inter-band</w:t>
      </w:r>
      <w:r>
        <w:rPr>
          <w:i/>
          <w:iCs/>
        </w:rPr>
        <w:t xml:space="preserve"> carrier aggregation is </w:t>
      </w:r>
      <w:r>
        <w:rPr>
          <w:rFonts w:hint="eastAsia" w:eastAsia="宋体"/>
          <w:i/>
          <w:iCs/>
          <w:lang w:val="en-US" w:eastAsia="zh-CN"/>
        </w:rPr>
        <w:t>configured]</w:t>
      </w:r>
      <w:r>
        <w:rPr>
          <w:i/>
          <w:iCs/>
          <w:lang w:eastAsia="zh-CN"/>
        </w:rPr>
        <w:t>,</w:t>
      </w:r>
    </w:p>
    <w:p>
      <w:pPr>
        <w:pStyle w:val="61"/>
        <w:numPr>
          <w:ilvl w:val="0"/>
          <w:numId w:val="0"/>
        </w:numPr>
        <w:ind w:leftChars="0"/>
        <w:rPr>
          <w:i/>
          <w:iCs/>
          <w:lang w:eastAsia="zh-CN"/>
        </w:rPr>
      </w:pPr>
      <w:r>
        <w:rPr>
          <w:i/>
          <w:iCs/>
        </w:rPr>
        <w:t>K</w:t>
      </w:r>
      <w:r>
        <w:rPr>
          <w:i/>
          <w:iCs/>
          <w:vertAlign w:val="subscript"/>
        </w:rPr>
        <w:t>layer1_measurement</w:t>
      </w:r>
      <w:r>
        <w:rPr>
          <w:i/>
          <w:iCs/>
        </w:rPr>
        <w:t xml:space="preserve">=1, </w:t>
      </w:r>
    </w:p>
    <w:p>
      <w:pPr>
        <w:pStyle w:val="68"/>
        <w:numPr>
          <w:ilvl w:val="0"/>
          <w:numId w:val="0"/>
        </w:numPr>
        <w:ind w:left="1135" w:leftChars="0"/>
        <w:rPr>
          <w:i/>
          <w:iCs/>
        </w:rPr>
      </w:pPr>
      <w:r>
        <w:rPr>
          <w:i/>
          <w:iCs/>
        </w:rPr>
        <w:t>-</w:t>
      </w:r>
      <w:r>
        <w:rPr>
          <w:i/>
          <w:iCs/>
        </w:rPr>
        <w:tab/>
      </w:r>
      <w:r>
        <w:rPr>
          <w:i/>
          <w:iCs/>
        </w:rPr>
        <w:t xml:space="preserve">if all of the reference signals configured for RLM, BFD, CBD or L1-RSRP for beam reporting outside measurement gap are not fully overlapped by intra-frequency SMTC occasions, or </w:t>
      </w:r>
    </w:p>
    <w:p>
      <w:pPr>
        <w:pStyle w:val="68"/>
        <w:numPr>
          <w:ilvl w:val="0"/>
          <w:numId w:val="0"/>
        </w:numPr>
        <w:ind w:left="1135" w:leftChars="0"/>
        <w:rPr>
          <w:i/>
          <w:iCs/>
        </w:rPr>
      </w:pPr>
      <w:r>
        <w:rPr>
          <w:i/>
          <w:iCs/>
        </w:rPr>
        <w:t>-</w:t>
      </w:r>
      <w:r>
        <w:rPr>
          <w:i/>
          <w:iCs/>
        </w:rPr>
        <w:tab/>
      </w:r>
      <w:r>
        <w:rPr>
          <w:i/>
          <w:iCs/>
        </w:rPr>
        <w:t xml:space="preserve">if all of the reference signal configured for RLM, BFD, CBD or L1-RSRP for beam reporting </w:t>
      </w:r>
      <w:r>
        <w:rPr>
          <w:rFonts w:hint="eastAsia"/>
          <w:i/>
          <w:iCs/>
          <w:highlight w:val="yellow"/>
          <w:lang w:val="en-US" w:eastAsia="zh-CN"/>
        </w:rPr>
        <w:t xml:space="preserve">on any serving frequency in the same band </w:t>
      </w:r>
      <w:r>
        <w:rPr>
          <w:i/>
          <w:iCs/>
        </w:rPr>
        <w:t xml:space="preserve">outside measurement gap and fully-overlapped by intra-frequency SMTC occasions are not overlapped with any of the SSB symbols and the RSSI symbols, and </w:t>
      </w:r>
      <w:r>
        <w:rPr>
          <w:i/>
          <w:iCs/>
          <w:highlight w:val="yellow"/>
        </w:rPr>
        <w:t>1</w:t>
      </w:r>
      <w:r>
        <w:rPr>
          <w:i/>
          <w:iCs/>
        </w:rPr>
        <w:t xml:space="preserve"> symbol before each consecutive SSB symbols and the RSSI symbols, and </w:t>
      </w:r>
      <w:r>
        <w:rPr>
          <w:i/>
          <w:iCs/>
          <w:highlight w:val="yellow"/>
        </w:rPr>
        <w:t>1</w:t>
      </w:r>
      <w:r>
        <w:rPr>
          <w:i/>
          <w:iCs/>
        </w:rPr>
        <w:t xml:space="preserve"> symbol after each consecutive SSB symbols and the RSSI symbols, given that SSB-ToMeasure and SS-RSSI-Measurement are configured, where SSB symbols are indicated by the union</w:t>
      </w:r>
      <w:r>
        <w:rPr>
          <w:i/>
          <w:iCs/>
          <w:color w:val="00B050"/>
        </w:rPr>
        <w:t xml:space="preserve"> </w:t>
      </w:r>
      <w:r>
        <w:rPr>
          <w:i/>
          <w:iCs/>
        </w:rPr>
        <w:t>set of SSB-ToMeasure from all the configured</w:t>
      </w:r>
      <w:r>
        <w:rPr>
          <w:i/>
          <w:iCs/>
          <w:color w:val="00B050"/>
        </w:rPr>
        <w:t xml:space="preserve"> </w:t>
      </w:r>
      <w:r>
        <w:rPr>
          <w:i/>
          <w:iCs/>
        </w:rPr>
        <w:t>measurement objects on the same serving carrier</w:t>
      </w:r>
      <w:r>
        <w:rPr>
          <w:i/>
          <w:iCs/>
          <w:color w:val="00B050"/>
        </w:rPr>
        <w:t xml:space="preserve"> </w:t>
      </w:r>
      <w:r>
        <w:rPr>
          <w:i/>
          <w:iCs/>
        </w:rPr>
        <w:t>which can be merged. and RSSI symbols are indicated by SS-RSSI-Measurement</w:t>
      </w:r>
      <w:r>
        <w:rPr>
          <w:rFonts w:hint="eastAsia"/>
          <w:i/>
          <w:iCs/>
          <w:lang w:val="en-US" w:eastAsia="zh-CN"/>
        </w:rPr>
        <w:t>, or</w:t>
      </w:r>
      <w:r>
        <w:rPr>
          <w:i/>
          <w:iCs/>
        </w:rPr>
        <w:t>;</w:t>
      </w:r>
    </w:p>
    <w:p>
      <w:pPr>
        <w:pStyle w:val="68"/>
        <w:numPr>
          <w:ilvl w:val="0"/>
          <w:numId w:val="0"/>
        </w:numPr>
        <w:ind w:left="1135" w:leftChars="0"/>
        <w:rPr>
          <w:i/>
          <w:iCs/>
        </w:rPr>
      </w:pPr>
      <w:r>
        <w:rPr>
          <w:i/>
          <w:iCs/>
        </w:rPr>
        <w:t>-</w:t>
      </w:r>
      <w:r>
        <w:rPr>
          <w:i/>
          <w:iCs/>
        </w:rPr>
        <w:tab/>
      </w:r>
      <w:r>
        <w:rPr>
          <w:i/>
          <w:iCs/>
        </w:rPr>
        <w:t xml:space="preserve">if all of the reference signal configured for RLM, BFD, CBD or L1-RSRP for beam reporting </w:t>
      </w:r>
      <w:r>
        <w:rPr>
          <w:rFonts w:hint="eastAsia"/>
          <w:i/>
          <w:iCs/>
          <w:highlight w:val="yellow"/>
          <w:lang w:val="en-US" w:eastAsia="zh-CN"/>
        </w:rPr>
        <w:t xml:space="preserve">on any serving frequency in different band </w:t>
      </w:r>
      <w:r>
        <w:rPr>
          <w:i/>
          <w:iCs/>
        </w:rPr>
        <w:t xml:space="preserve">outside measurement gap and fully-overlapped by intra-frequency SMTC occasions are not overlapped with any of the SSB symbols and the RSSI symbols, and </w:t>
      </w:r>
      <w:r>
        <w:rPr>
          <w:rFonts w:hint="eastAsia"/>
          <w:i/>
          <w:iCs/>
          <w:highlight w:val="yellow"/>
          <w:lang w:val="en-US" w:eastAsia="zh-CN"/>
        </w:rPr>
        <w:t>2</w:t>
      </w:r>
      <w:r>
        <w:rPr>
          <w:i/>
          <w:iCs/>
        </w:rPr>
        <w:t xml:space="preserve"> symbol</w:t>
      </w:r>
      <w:r>
        <w:rPr>
          <w:rFonts w:hint="eastAsia"/>
          <w:i/>
          <w:iCs/>
          <w:highlight w:val="yellow"/>
          <w:lang w:val="en-US" w:eastAsia="zh-CN"/>
        </w:rPr>
        <w:t>s</w:t>
      </w:r>
      <w:r>
        <w:rPr>
          <w:i/>
          <w:iCs/>
        </w:rPr>
        <w:t xml:space="preserve"> before each consecutive SSB symbols and the RSSI symbols, and </w:t>
      </w:r>
      <w:r>
        <w:rPr>
          <w:rFonts w:hint="eastAsia"/>
          <w:i/>
          <w:iCs/>
          <w:highlight w:val="yellow"/>
          <w:lang w:val="en-US" w:eastAsia="zh-CN"/>
        </w:rPr>
        <w:t>2</w:t>
      </w:r>
      <w:r>
        <w:rPr>
          <w:i/>
          <w:iCs/>
        </w:rPr>
        <w:t xml:space="preserve"> symbol</w:t>
      </w:r>
      <w:r>
        <w:rPr>
          <w:rFonts w:hint="eastAsia"/>
          <w:i/>
          <w:iCs/>
          <w:highlight w:val="yellow"/>
          <w:lang w:val="en-US" w:eastAsia="zh-CN"/>
        </w:rPr>
        <w:t>s</w:t>
      </w:r>
      <w:r>
        <w:rPr>
          <w:i/>
          <w:iCs/>
        </w:rPr>
        <w:t xml:space="preserve"> after each consecutive SSB symbols and the RSSI symbols, given that SSB-ToMeasure and SS-RSSI-Measurement are configured</w:t>
      </w:r>
      <w:r>
        <w:rPr>
          <w:rFonts w:hint="eastAsia"/>
          <w:i/>
          <w:iCs/>
          <w:lang w:val="en-US" w:eastAsia="zh-CN"/>
        </w:rPr>
        <w:t xml:space="preserve"> </w:t>
      </w:r>
      <w:r>
        <w:rPr>
          <w:rFonts w:hint="eastAsia"/>
          <w:i/>
          <w:iCs/>
          <w:highlight w:val="yellow"/>
          <w:lang w:val="en-US" w:eastAsia="zh-CN"/>
        </w:rPr>
        <w:t>and the UE is capable of [common Rx beam between PCC band and SCC band]</w:t>
      </w:r>
      <w:r>
        <w:rPr>
          <w:i/>
          <w:iCs/>
        </w:rPr>
        <w:t>, where SSB symbols are indicated by the union</w:t>
      </w:r>
      <w:r>
        <w:rPr>
          <w:i/>
          <w:iCs/>
          <w:color w:val="00B050"/>
        </w:rPr>
        <w:t xml:space="preserve"> </w:t>
      </w:r>
      <w:r>
        <w:rPr>
          <w:i/>
          <w:iCs/>
        </w:rPr>
        <w:t>set of SSB-ToMeasure from all the configured</w:t>
      </w:r>
      <w:r>
        <w:rPr>
          <w:i/>
          <w:iCs/>
          <w:color w:val="00B050"/>
        </w:rPr>
        <w:t xml:space="preserve"> </w:t>
      </w:r>
      <w:r>
        <w:rPr>
          <w:i/>
          <w:iCs/>
        </w:rPr>
        <w:t>measurement objects on the same serving carrier</w:t>
      </w:r>
      <w:r>
        <w:rPr>
          <w:i/>
          <w:iCs/>
          <w:color w:val="00B050"/>
        </w:rPr>
        <w:t xml:space="preserve"> </w:t>
      </w:r>
      <w:r>
        <w:rPr>
          <w:i/>
          <w:iCs/>
        </w:rPr>
        <w:t>which can be merged. and RSSI symbols are indicated by SS-RSSI-Measurement</w:t>
      </w:r>
      <w:r>
        <w:rPr>
          <w:rFonts w:hint="eastAsia"/>
          <w:i/>
          <w:iCs/>
          <w:lang w:val="en-US" w:eastAsia="zh-CN"/>
        </w:rPr>
        <w:t>, or</w:t>
      </w:r>
      <w:r>
        <w:rPr>
          <w:i/>
          <w:iCs/>
        </w:rPr>
        <w:t>;</w:t>
      </w:r>
    </w:p>
    <w:p>
      <w:pPr>
        <w:pStyle w:val="68"/>
        <w:numPr>
          <w:ilvl w:val="0"/>
          <w:numId w:val="0"/>
        </w:numPr>
        <w:ind w:left="1135" w:leftChars="0"/>
        <w:rPr>
          <w:rFonts w:hint="default"/>
          <w:i/>
          <w:iCs/>
          <w:lang w:val="en-US" w:eastAsia="zh-CN"/>
        </w:rPr>
      </w:pPr>
      <w:r>
        <w:rPr>
          <w:i/>
          <w:iCs/>
          <w:lang w:val="en-US" w:eastAsia="zh-CN"/>
        </w:rPr>
        <w:t xml:space="preserve">- if </w:t>
      </w:r>
      <w:r>
        <w:rPr>
          <w:rFonts w:hint="eastAsia"/>
          <w:i/>
          <w:iCs/>
          <w:lang w:val="en-US" w:eastAsia="zh-CN"/>
        </w:rPr>
        <w:t xml:space="preserve">all of the reference signals configured for RLM, BFD, CBD or L1-RSRP for beam reporting </w:t>
      </w:r>
      <w:r>
        <w:rPr>
          <w:rFonts w:hint="eastAsia"/>
          <w:i/>
          <w:iCs/>
          <w:highlight w:val="yellow"/>
          <w:lang w:val="en-US" w:eastAsia="zh-CN"/>
        </w:rPr>
        <w:t xml:space="preserve">are on any serving frequency in different band </w:t>
      </w:r>
      <w:r>
        <w:rPr>
          <w:rFonts w:hint="eastAsia"/>
          <w:i/>
          <w:iCs/>
          <w:lang w:val="en-US" w:eastAsia="zh-CN"/>
        </w:rPr>
        <w:t xml:space="preserve">outside measurement gap </w:t>
      </w:r>
      <w:r>
        <w:rPr>
          <w:i/>
          <w:iCs/>
          <w:highlight w:val="yellow"/>
        </w:rPr>
        <w:t xml:space="preserve">and UE </w:t>
      </w:r>
      <w:r>
        <w:rPr>
          <w:rFonts w:hint="eastAsia"/>
          <w:i/>
          <w:iCs/>
          <w:highlight w:val="yellow"/>
          <w:lang w:val="en-US" w:eastAsia="zh-CN"/>
        </w:rPr>
        <w:t>is not capable of</w:t>
      </w:r>
      <w:r>
        <w:rPr>
          <w:i/>
          <w:iCs/>
          <w:highlight w:val="yellow"/>
        </w:rPr>
        <w:t xml:space="preserve"> </w:t>
      </w:r>
      <w:r>
        <w:rPr>
          <w:i/>
          <w:iCs/>
          <w:highlight w:val="yellow"/>
          <w:lang w:val="en-US" w:eastAsia="zh-CN"/>
        </w:rPr>
        <w:t>[</w:t>
      </w:r>
      <w:r>
        <w:rPr>
          <w:rFonts w:hint="eastAsia"/>
          <w:i/>
          <w:iCs/>
          <w:highlight w:val="yellow"/>
          <w:lang w:val="en-US" w:eastAsia="zh-CN"/>
        </w:rPr>
        <w:t>common Rx beam between PCC band and SCC band</w:t>
      </w:r>
      <w:r>
        <w:rPr>
          <w:i/>
          <w:iCs/>
          <w:lang w:val="en-US" w:eastAsia="zh-CN"/>
        </w:rPr>
        <w:t>]</w:t>
      </w:r>
      <w:r>
        <w:rPr>
          <w:rFonts w:hint="eastAsia"/>
          <w:i/>
          <w:iCs/>
          <w:lang w:val="en-US" w:eastAsia="zh-CN"/>
        </w:rPr>
        <w:t>.</w:t>
      </w:r>
    </w:p>
    <w:p>
      <w:pPr>
        <w:pStyle w:val="12"/>
        <w:bidi w:val="0"/>
        <w:rPr>
          <w:rFonts w:hint="default"/>
          <w:b/>
          <w:bCs/>
          <w:i/>
          <w:iCs/>
          <w:lang w:val="en-US" w:eastAsia="zh-CN"/>
        </w:rPr>
      </w:pPr>
      <w:r>
        <w:rPr>
          <w:rFonts w:hint="eastAsia"/>
          <w:i/>
          <w:iCs/>
          <w:lang w:eastAsia="zh-CN"/>
        </w:rPr>
        <w:t>Otherwise</w:t>
      </w:r>
      <w:r>
        <w:rPr>
          <w:i/>
          <w:iCs/>
          <w:lang w:eastAsia="zh-CN"/>
        </w:rPr>
        <w:t xml:space="preserve">, </w:t>
      </w:r>
      <w:r>
        <w:rPr>
          <w:i/>
          <w:iCs/>
        </w:rPr>
        <w:t>K</w:t>
      </w:r>
      <w:r>
        <w:rPr>
          <w:i/>
          <w:iCs/>
          <w:vertAlign w:val="subscript"/>
        </w:rPr>
        <w:t>layer1_measurement</w:t>
      </w:r>
      <w:r>
        <w:rPr>
          <w:i/>
          <w:iCs/>
        </w:rPr>
        <w:t>=1</w:t>
      </w:r>
      <w:r>
        <w:rPr>
          <w:rFonts w:hint="eastAsia" w:eastAsia="宋体"/>
          <w:i/>
          <w:iCs/>
          <w:lang w:val="en-US" w:eastAsia="zh-CN"/>
        </w:rPr>
        <w:t>.5</w:t>
      </w:r>
      <w:r>
        <w:rPr>
          <w:i/>
          <w:iCs/>
        </w:rPr>
        <w:t>.</w:t>
      </w:r>
    </w:p>
    <w:p>
      <w:pPr>
        <w:pStyle w:val="12"/>
        <w:bidi w:val="0"/>
        <w:rPr>
          <w:rFonts w:hint="eastAsia"/>
          <w:b/>
          <w:bCs/>
          <w:lang w:val="en-US" w:eastAsia="zh-CN"/>
        </w:rPr>
      </w:pPr>
      <w:r>
        <w:rPr>
          <w:rFonts w:hint="eastAsia"/>
          <w:b/>
          <w:bCs/>
          <w:lang w:val="en-US" w:eastAsia="zh-CN"/>
        </w:rPr>
        <w:t>Proposal 6: UE antenna types have impact on some types of interruption requirements. Classify the UE antenna types into two categories:</w:t>
      </w:r>
    </w:p>
    <w:p>
      <w:pPr>
        <w:pStyle w:val="12"/>
        <w:numPr>
          <w:ilvl w:val="0"/>
          <w:numId w:val="7"/>
        </w:numPr>
        <w:bidi w:val="0"/>
        <w:ind w:left="420" w:leftChars="0" w:hanging="420" w:firstLineChars="0"/>
        <w:rPr>
          <w:rFonts w:hint="default"/>
          <w:b/>
          <w:bCs/>
          <w:lang w:val="en-US" w:eastAsia="zh-CN"/>
        </w:rPr>
      </w:pPr>
      <w:r>
        <w:rPr>
          <w:rFonts w:hint="eastAsia"/>
          <w:b/>
          <w:bCs/>
          <w:lang w:val="en-US" w:eastAsia="zh-CN"/>
        </w:rPr>
        <w:t>Category 1: antenna array assumption in intra-band CA and Case 4 in inter-band CA</w:t>
      </w:r>
    </w:p>
    <w:p>
      <w:pPr>
        <w:pStyle w:val="12"/>
        <w:numPr>
          <w:ilvl w:val="0"/>
          <w:numId w:val="7"/>
        </w:numPr>
        <w:bidi w:val="0"/>
        <w:ind w:left="420" w:leftChars="0" w:hanging="420" w:firstLineChars="0"/>
        <w:rPr>
          <w:rFonts w:hint="default"/>
          <w:b/>
          <w:bCs/>
          <w:lang w:val="en-US" w:eastAsia="zh-CN"/>
        </w:rPr>
      </w:pPr>
      <w:r>
        <w:rPr>
          <w:rFonts w:hint="eastAsia"/>
          <w:b/>
          <w:bCs/>
          <w:lang w:val="en-US" w:eastAsia="zh-CN"/>
        </w:rPr>
        <w:t>Category 2: other cases</w:t>
      </w:r>
    </w:p>
    <w:p>
      <w:pPr>
        <w:pStyle w:val="12"/>
        <w:bidi w:val="0"/>
        <w:rPr>
          <w:rFonts w:hint="eastAsia"/>
          <w:b/>
          <w:bCs/>
          <w:lang w:val="en-US" w:eastAsia="zh-CN"/>
        </w:rPr>
      </w:pPr>
      <w:r>
        <w:rPr>
          <w:rFonts w:hint="eastAsia"/>
          <w:b/>
          <w:bCs/>
          <w:lang w:val="en-US" w:eastAsia="zh-CN"/>
        </w:rPr>
        <w:t>Proposal 7: For the interruptions caused by SCell addition/release and any types of SCell activation/deactivation, distinguish the interruption requirements for Category 1 and 2.</w:t>
      </w:r>
    </w:p>
    <w:p>
      <w:pPr>
        <w:pStyle w:val="12"/>
        <w:bidi w:val="0"/>
        <w:rPr>
          <w:rFonts w:hint="default"/>
          <w:b w:val="0"/>
          <w:bCs w:val="0"/>
          <w:lang w:val="en-US" w:eastAsia="zh-CN"/>
        </w:rPr>
      </w:pPr>
      <w:r>
        <w:rPr>
          <w:rFonts w:hint="eastAsia"/>
          <w:b/>
          <w:bCs/>
          <w:lang w:val="en-US" w:eastAsia="zh-CN"/>
        </w:rPr>
        <w:t>For other interruptions, define unified interruption requirements for all UE antenna types.</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8: During both SSB based SCell activation and SSB-less SCell activation, under a common Rx beam assumption for intra-band or inter-band CA, </w:t>
      </w:r>
    </w:p>
    <w:p>
      <w:pPr>
        <w:pStyle w:val="12"/>
        <w:keepNext w:val="0"/>
        <w:keepLines w:val="0"/>
        <w:pageBreakBefore w:val="0"/>
        <w:widowControl/>
        <w:numPr>
          <w:ilvl w:val="0"/>
          <w:numId w:val="8"/>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perform both PCell and SCell measurement at a meanwhile;</w:t>
      </w:r>
    </w:p>
    <w:p>
      <w:pPr>
        <w:pStyle w:val="12"/>
        <w:keepNext w:val="0"/>
        <w:keepLines w:val="0"/>
        <w:pageBreakBefore w:val="0"/>
        <w:widowControl/>
        <w:numPr>
          <w:ilvl w:val="0"/>
          <w:numId w:val="8"/>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NOT perform SCell measurement and neighbour cell measurement simultaneously.</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The agreements achieved in last meeting about SSB based and SSB-less SCell activation is enough, no need other update.</w:t>
      </w:r>
    </w:p>
    <w:p>
      <w:pPr>
        <w:pStyle w:val="12"/>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1" w:name="_Ref98775365"/>
      <w:r>
        <w:rPr>
          <w:rFonts w:hint="eastAsia"/>
          <w:color w:val="auto"/>
          <w:sz w:val="20"/>
          <w:szCs w:val="20"/>
          <w:highlight w:val="none"/>
          <w:lang w:val="en-US" w:eastAsia="zh-CN"/>
        </w:rPr>
        <w:t>RP-2504898, New WID: New WID on Enhancements for Air-to-ground network for NR, 3GPP TSG RAN Meeting #10</w:t>
      </w:r>
      <w:bookmarkEnd w:id="1"/>
      <w:r>
        <w:rPr>
          <w:rFonts w:hint="eastAsia"/>
          <w:color w:val="auto"/>
          <w:sz w:val="20"/>
          <w:szCs w:val="20"/>
          <w:highlight w:val="none"/>
          <w:lang w:val="en-US" w:eastAsia="zh-CN"/>
        </w:rPr>
        <w:t>6.</w:t>
      </w: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8587C"/>
    <w:multiLevelType w:val="singleLevel"/>
    <w:tmpl w:val="87B8587C"/>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E2A314"/>
    <w:multiLevelType w:val="singleLevel"/>
    <w:tmpl w:val="1CE2A314"/>
    <w:lvl w:ilvl="0" w:tentative="0">
      <w:start w:val="1"/>
      <w:numFmt w:val="bullet"/>
      <w:lvlText w:val=""/>
      <w:lvlJc w:val="left"/>
      <w:pPr>
        <w:ind w:left="420" w:hanging="420"/>
      </w:pPr>
      <w:rPr>
        <w:rFonts w:hint="default" w:ascii="Wingdings" w:hAnsi="Wingdings"/>
      </w:rPr>
    </w:lvl>
  </w:abstractNum>
  <w:abstractNum w:abstractNumId="4">
    <w:nsid w:val="1CEF6453"/>
    <w:multiLevelType w:val="singleLevel"/>
    <w:tmpl w:val="1CEF6453"/>
    <w:lvl w:ilvl="0" w:tentative="0">
      <w:start w:val="1"/>
      <w:numFmt w:val="bullet"/>
      <w:lvlText w:val=""/>
      <w:lvlJc w:val="left"/>
      <w:pPr>
        <w:ind w:left="420" w:hanging="420"/>
      </w:pPr>
      <w:rPr>
        <w:rFonts w:hint="default" w:ascii="Wingdings" w:hAnsi="Wingdings"/>
      </w:rPr>
    </w:lvl>
  </w:abstractNum>
  <w:abstractNum w:abstractNumId="5">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5"/>
  </w:num>
  <w:num w:numId="4">
    <w:abstractNumId w:val="2"/>
  </w:num>
  <w:num w:numId="5">
    <w:abstractNumId w:val="7"/>
  </w:num>
  <w:num w:numId="6">
    <w:abstractNumId w:val="3"/>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E2986"/>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A2ED0"/>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3C6163"/>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E2C12"/>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A4237A"/>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5A6DEE"/>
    <w:rsid w:val="1F767C21"/>
    <w:rsid w:val="1F825E2E"/>
    <w:rsid w:val="1F86127F"/>
    <w:rsid w:val="1FA61EB8"/>
    <w:rsid w:val="1FB56588"/>
    <w:rsid w:val="1FBF0E1E"/>
    <w:rsid w:val="1FBF78D9"/>
    <w:rsid w:val="1FC06A5E"/>
    <w:rsid w:val="1FC2798E"/>
    <w:rsid w:val="1FCF7A17"/>
    <w:rsid w:val="1FE62FE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4226C5"/>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7F65B8"/>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CA669A"/>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7B7B0E"/>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EE5229"/>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95523"/>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B669A8"/>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33AE8"/>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styleId="23">
    <w:name w:val="annotation reference"/>
    <w:semiHidden/>
    <w:qFormat/>
    <w:uiPriority w:val="0"/>
    <w:rPr>
      <w:sz w:val="16"/>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7"/>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Reference"/>
    <w:basedOn w:val="12"/>
    <w:qFormat/>
    <w:locked/>
    <w:uiPriority w:val="99"/>
    <w:pPr>
      <w:numPr>
        <w:ilvl w:val="0"/>
        <w:numId w:val="3"/>
      </w:numPr>
    </w:pPr>
  </w:style>
  <w:style w:type="paragraph" w:customStyle="1" w:styleId="68">
    <w:name w:val="B3"/>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2025-05-09T14:49:29Z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